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1322F" w14:textId="65A28598" w:rsidR="006E7052" w:rsidRDefault="006E7052" w:rsidP="006E7052">
      <w:pPr>
        <w:pStyle w:val="Heading2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დანართი 3</w:t>
      </w:r>
    </w:p>
    <w:p w14:paraId="097B210F" w14:textId="77777777" w:rsidR="006E7052" w:rsidRDefault="006E7052" w:rsidP="006E7052">
      <w:pPr>
        <w:pStyle w:val="Title"/>
        <w:spacing w:before="120"/>
        <w:ind w:firstLine="720"/>
        <w:jc w:val="right"/>
        <w:rPr>
          <w:rFonts w:ascii="Sylfaen" w:hAnsi="Sylfaen" w:cs="Sylfaen"/>
          <w:color w:val="auto"/>
          <w:sz w:val="32"/>
          <w:szCs w:val="44"/>
        </w:rPr>
      </w:pPr>
    </w:p>
    <w:p w14:paraId="1DD97CB0" w14:textId="77777777" w:rsidR="006E7052" w:rsidRDefault="006E7052" w:rsidP="00180A14">
      <w:pPr>
        <w:pStyle w:val="Title"/>
        <w:spacing w:before="120"/>
        <w:ind w:firstLine="720"/>
        <w:jc w:val="center"/>
        <w:rPr>
          <w:rFonts w:ascii="Sylfaen" w:hAnsi="Sylfaen" w:cs="Sylfaen"/>
          <w:color w:val="auto"/>
          <w:sz w:val="32"/>
          <w:szCs w:val="44"/>
        </w:rPr>
      </w:pPr>
    </w:p>
    <w:p w14:paraId="171055A1" w14:textId="49F63578" w:rsidR="00BB45F3" w:rsidRPr="00180A14" w:rsidRDefault="004B2002" w:rsidP="00180A14">
      <w:pPr>
        <w:pStyle w:val="Title"/>
        <w:spacing w:before="120"/>
        <w:ind w:firstLine="720"/>
        <w:jc w:val="center"/>
        <w:rPr>
          <w:color w:val="auto"/>
          <w:sz w:val="32"/>
          <w:szCs w:val="44"/>
        </w:rPr>
      </w:pPr>
      <w:r>
        <w:rPr>
          <w:rFonts w:ascii="Sylfaen" w:hAnsi="Sylfaen" w:cs="Sylfaen"/>
          <w:color w:val="auto"/>
          <w:sz w:val="32"/>
          <w:szCs w:val="44"/>
        </w:rPr>
        <w:t xml:space="preserve">პირველადი </w:t>
      </w:r>
      <w:r w:rsidR="00B167BE" w:rsidRPr="00180A14">
        <w:rPr>
          <w:rFonts w:ascii="Sylfaen" w:hAnsi="Sylfaen" w:cs="Sylfaen"/>
          <w:color w:val="auto"/>
          <w:sz w:val="32"/>
          <w:szCs w:val="44"/>
        </w:rPr>
        <w:t xml:space="preserve">ჯანდაცვის სისტემის </w:t>
      </w:r>
      <w:r w:rsidR="004F2508" w:rsidRPr="00180A14">
        <w:rPr>
          <w:rFonts w:ascii="Sylfaen" w:hAnsi="Sylfaen" w:cs="Sylfaen"/>
          <w:color w:val="auto"/>
          <w:sz w:val="32"/>
          <w:szCs w:val="44"/>
        </w:rPr>
        <w:t xml:space="preserve">შეფასების </w:t>
      </w:r>
      <w:r w:rsidR="00B167BE" w:rsidRPr="00180A14">
        <w:rPr>
          <w:rFonts w:ascii="Sylfaen" w:hAnsi="Sylfaen" w:cs="Sylfaen"/>
          <w:color w:val="auto"/>
          <w:sz w:val="32"/>
          <w:szCs w:val="44"/>
        </w:rPr>
        <w:t>ინდიკატორები</w:t>
      </w:r>
    </w:p>
    <w:p w14:paraId="0381727D" w14:textId="326B2C9D" w:rsidR="00180A14" w:rsidRDefault="00B167BE" w:rsidP="00180A14">
      <w:pPr>
        <w:pStyle w:val="Caption"/>
        <w:spacing w:after="0" w:line="240" w:lineRule="auto"/>
        <w:rPr>
          <w:color w:val="auto"/>
        </w:rPr>
      </w:pPr>
      <w:r w:rsidRPr="0022243A">
        <w:rPr>
          <w:color w:val="auto"/>
        </w:rPr>
        <w:t xml:space="preserve">ცხრილი </w:t>
      </w:r>
      <w:r w:rsidR="00FD13E5" w:rsidRPr="0022243A">
        <w:rPr>
          <w:color w:val="auto"/>
        </w:rPr>
        <w:fldChar w:fldCharType="begin"/>
      </w:r>
      <w:r w:rsidR="00FD13E5" w:rsidRPr="0022243A">
        <w:rPr>
          <w:color w:val="auto"/>
        </w:rPr>
        <w:instrText xml:space="preserve"> SEQ ცხრილი \* ARABIC </w:instrText>
      </w:r>
      <w:r w:rsidR="00FD13E5" w:rsidRPr="0022243A">
        <w:rPr>
          <w:color w:val="auto"/>
        </w:rPr>
        <w:fldChar w:fldCharType="separate"/>
      </w:r>
      <w:r w:rsidR="007450D9">
        <w:rPr>
          <w:noProof/>
          <w:color w:val="auto"/>
        </w:rPr>
        <w:t>1</w:t>
      </w:r>
      <w:r w:rsidR="00FD13E5" w:rsidRPr="0022243A">
        <w:rPr>
          <w:noProof/>
          <w:color w:val="auto"/>
        </w:rPr>
        <w:fldChar w:fldCharType="end"/>
      </w:r>
      <w:r w:rsidRPr="0022243A">
        <w:rPr>
          <w:color w:val="auto"/>
        </w:rPr>
        <w:t>. ინდიკატორების ჩამონათვალი</w:t>
      </w:r>
    </w:p>
    <w:p w14:paraId="45CB663D" w14:textId="77777777" w:rsidR="00180A14" w:rsidRPr="00180A14" w:rsidRDefault="00180A14" w:rsidP="00180A14"/>
    <w:tbl>
      <w:tblPr>
        <w:tblStyle w:val="GridTable1Light-Accent11"/>
        <w:tblW w:w="15127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519"/>
        <w:gridCol w:w="1843"/>
        <w:gridCol w:w="1701"/>
        <w:gridCol w:w="709"/>
        <w:gridCol w:w="9355"/>
      </w:tblGrid>
      <w:tr w:rsidR="006356D8" w:rsidRPr="006356D8" w14:paraId="433D03A3" w14:textId="77777777" w:rsidTr="006356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4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shd w:val="clear" w:color="auto" w:fill="BDD6EE"/>
          </w:tcPr>
          <w:p w14:paraId="68B1BDA7" w14:textId="0AE0CEB4" w:rsidR="00124CD6" w:rsidRPr="006356D8" w:rsidRDefault="00124CD6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ფუნქცია</w:t>
            </w:r>
          </w:p>
        </w:tc>
        <w:tc>
          <w:tcPr>
            <w:tcW w:w="1843" w:type="dxa"/>
            <w:shd w:val="clear" w:color="auto" w:fill="BDD6EE"/>
          </w:tcPr>
          <w:p w14:paraId="05C5AA68" w14:textId="2C3CE1D6" w:rsidR="00124CD6" w:rsidRPr="006356D8" w:rsidRDefault="00124CD6" w:rsidP="006356D8">
            <w:pPr>
              <w:spacing w:before="120" w:after="0"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მდგომარეობა / მიმართულება</w:t>
            </w:r>
          </w:p>
        </w:tc>
        <w:tc>
          <w:tcPr>
            <w:tcW w:w="1701" w:type="dxa"/>
            <w:shd w:val="clear" w:color="auto" w:fill="BDD6EE"/>
          </w:tcPr>
          <w:p w14:paraId="713013F1" w14:textId="77777777" w:rsidR="00124CD6" w:rsidRPr="006356D8" w:rsidRDefault="00124CD6" w:rsidP="006356D8">
            <w:pPr>
              <w:spacing w:before="120" w:after="0"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ტიპი</w:t>
            </w:r>
          </w:p>
        </w:tc>
        <w:tc>
          <w:tcPr>
            <w:tcW w:w="709" w:type="dxa"/>
            <w:shd w:val="clear" w:color="auto" w:fill="BDD6EE"/>
          </w:tcPr>
          <w:p w14:paraId="4FFE32E5" w14:textId="77777777" w:rsidR="00124CD6" w:rsidRPr="006356D8" w:rsidRDefault="00124CD6" w:rsidP="006356D8">
            <w:pPr>
              <w:spacing w:before="120" w:after="0"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N</w:t>
            </w:r>
          </w:p>
        </w:tc>
        <w:tc>
          <w:tcPr>
            <w:tcW w:w="9355" w:type="dxa"/>
            <w:shd w:val="clear" w:color="auto" w:fill="BDD6EE"/>
          </w:tcPr>
          <w:p w14:paraId="65F35627" w14:textId="77777777" w:rsidR="00124CD6" w:rsidRPr="006356D8" w:rsidRDefault="00124CD6" w:rsidP="006356D8">
            <w:pPr>
              <w:spacing w:before="120" w:after="0"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დასახელება</w:t>
            </w:r>
          </w:p>
        </w:tc>
      </w:tr>
      <w:tr w:rsidR="006356D8" w:rsidRPr="006356D8" w14:paraId="4ACF86E5" w14:textId="77777777" w:rsidTr="005D3B8E">
        <w:trPr>
          <w:cantSplit/>
          <w:trHeight w:val="4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 w:val="restart"/>
            <w:shd w:val="clear" w:color="auto" w:fill="auto"/>
            <w:textDirection w:val="btLr"/>
          </w:tcPr>
          <w:p w14:paraId="4EE29A69" w14:textId="517637ED" w:rsidR="00124CD6" w:rsidRPr="006356D8" w:rsidRDefault="00124CD6" w:rsidP="006356D8">
            <w:pPr>
              <w:spacing w:before="120" w:after="0" w:line="240" w:lineRule="auto"/>
              <w:ind w:left="113" w:right="113"/>
              <w:jc w:val="center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გაუმჯობესებული ჯანმრთელობის სტატუსი</w:t>
            </w:r>
          </w:p>
        </w:tc>
        <w:tc>
          <w:tcPr>
            <w:tcW w:w="1843" w:type="dxa"/>
            <w:shd w:val="clear" w:color="auto" w:fill="auto"/>
          </w:tcPr>
          <w:p w14:paraId="664A83A3" w14:textId="26C332D2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გავლენის</w:t>
            </w:r>
          </w:p>
        </w:tc>
        <w:tc>
          <w:tcPr>
            <w:tcW w:w="1701" w:type="dxa"/>
            <w:shd w:val="clear" w:color="auto" w:fill="auto"/>
          </w:tcPr>
          <w:p w14:paraId="11CE6014" w14:textId="707D8C02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გავლენის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CF2EC08" w14:textId="1E5283C0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1</w:t>
            </w:r>
          </w:p>
        </w:tc>
        <w:tc>
          <w:tcPr>
            <w:tcW w:w="9355" w:type="dxa"/>
            <w:shd w:val="clear" w:color="auto" w:fill="auto"/>
          </w:tcPr>
          <w:p w14:paraId="4E55C0BA" w14:textId="19CFE404" w:rsidR="00124CD6" w:rsidRPr="00074222" w:rsidRDefault="00A409B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rFonts w:eastAsia="Times New Roman" w:cs="Calibri"/>
                <w:lang w:eastAsia="en-GB"/>
              </w:rPr>
              <w:t xml:space="preserve">ჯანმრთელი </w:t>
            </w:r>
            <w:r w:rsidR="00124CD6" w:rsidRPr="006356D8">
              <w:rPr>
                <w:rFonts w:eastAsia="Times New Roman" w:cs="Calibri"/>
                <w:lang w:eastAsia="en-GB"/>
              </w:rPr>
              <w:t>სიცოცხლის მოსალოდნელი ხანგრძლივობა</w:t>
            </w:r>
            <w:r>
              <w:rPr>
                <w:rFonts w:eastAsia="Times New Roman" w:cs="Calibri"/>
                <w:lang w:eastAsia="en-GB"/>
              </w:rPr>
              <w:t>(</w:t>
            </w:r>
            <w:r>
              <w:rPr>
                <w:rFonts w:eastAsia="Times New Roman" w:cs="Calibri"/>
                <w:lang w:val="en-US" w:eastAsia="en-GB"/>
              </w:rPr>
              <w:t>HALE)</w:t>
            </w:r>
          </w:p>
        </w:tc>
      </w:tr>
      <w:tr w:rsidR="006356D8" w:rsidRPr="006356D8" w14:paraId="097F9C59" w14:textId="77777777" w:rsidTr="005D3B8E">
        <w:trPr>
          <w:trHeight w:val="4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  <w:shd w:val="clear" w:color="auto" w:fill="auto"/>
          </w:tcPr>
          <w:p w14:paraId="7EC5ECCD" w14:textId="77777777" w:rsidR="00124CD6" w:rsidRPr="006356D8" w:rsidRDefault="00124CD6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0A1A7DAC" w14:textId="29817529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გავლენის</w:t>
            </w:r>
          </w:p>
        </w:tc>
        <w:tc>
          <w:tcPr>
            <w:tcW w:w="1701" w:type="dxa"/>
            <w:shd w:val="clear" w:color="auto" w:fill="auto"/>
          </w:tcPr>
          <w:p w14:paraId="6BD56474" w14:textId="0970DD90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გავლენის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7B06F7E" w14:textId="5E952F52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2</w:t>
            </w:r>
          </w:p>
        </w:tc>
        <w:tc>
          <w:tcPr>
            <w:tcW w:w="9355" w:type="dxa"/>
            <w:shd w:val="clear" w:color="auto" w:fill="auto"/>
          </w:tcPr>
          <w:p w14:paraId="56B21940" w14:textId="4C1A0C31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ქრონიკული დაავადებებით გამოწვეული ნაადრევი სიკვდილიანობის ალბათობა 30-70 წლის ასაკში</w:t>
            </w:r>
          </w:p>
        </w:tc>
      </w:tr>
      <w:tr w:rsidR="006356D8" w:rsidRPr="006356D8" w14:paraId="37983386" w14:textId="77777777" w:rsidTr="005D3B8E">
        <w:trPr>
          <w:trHeight w:val="8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  <w:shd w:val="clear" w:color="auto" w:fill="auto"/>
          </w:tcPr>
          <w:p w14:paraId="42343550" w14:textId="77777777" w:rsidR="00124CD6" w:rsidRPr="006356D8" w:rsidRDefault="00124CD6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67EE15E0" w14:textId="66FA505B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გულ-სისხლძარღვთა დაავადებები</w:t>
            </w:r>
          </w:p>
        </w:tc>
        <w:tc>
          <w:tcPr>
            <w:tcW w:w="1701" w:type="dxa"/>
            <w:shd w:val="clear" w:color="auto" w:fill="auto"/>
          </w:tcPr>
          <w:p w14:paraId="6E56B132" w14:textId="156A6E1F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გავლენის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ABD0C67" w14:textId="3D700B16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2.1</w:t>
            </w:r>
          </w:p>
        </w:tc>
        <w:tc>
          <w:tcPr>
            <w:tcW w:w="9355" w:type="dxa"/>
            <w:shd w:val="clear" w:color="auto" w:fill="auto"/>
          </w:tcPr>
          <w:p w14:paraId="31918B42" w14:textId="21551CF7" w:rsidR="00124CD6" w:rsidRPr="006356D8" w:rsidRDefault="00124CD6" w:rsidP="006356D8">
            <w:pPr>
              <w:pStyle w:val="ListParagraph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გულ-სისხლძარღვთა დაავადებებით გამოწვეული ნაადრევი სიკვდილიანობა 100,000 მოსახლეზე</w:t>
            </w:r>
          </w:p>
        </w:tc>
      </w:tr>
      <w:tr w:rsidR="006356D8" w:rsidRPr="006356D8" w14:paraId="718390C4" w14:textId="77777777" w:rsidTr="005D3B8E">
        <w:trPr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  <w:shd w:val="clear" w:color="auto" w:fill="auto"/>
          </w:tcPr>
          <w:p w14:paraId="2B271AEC" w14:textId="77777777" w:rsidR="00124CD6" w:rsidRPr="006356D8" w:rsidRDefault="00124CD6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16408EFA" w14:textId="0E404A3D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დიაბეტი</w:t>
            </w:r>
          </w:p>
        </w:tc>
        <w:tc>
          <w:tcPr>
            <w:tcW w:w="1701" w:type="dxa"/>
            <w:shd w:val="clear" w:color="auto" w:fill="auto"/>
          </w:tcPr>
          <w:p w14:paraId="03D3611C" w14:textId="7C1B19FF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გავლენის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22E3CB7" w14:textId="1B05829A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2.2</w:t>
            </w:r>
          </w:p>
        </w:tc>
        <w:tc>
          <w:tcPr>
            <w:tcW w:w="9355" w:type="dxa"/>
            <w:shd w:val="clear" w:color="auto" w:fill="auto"/>
          </w:tcPr>
          <w:p w14:paraId="22DC1E4F" w14:textId="10B2C975" w:rsidR="00124CD6" w:rsidRPr="006356D8" w:rsidRDefault="00124CD6" w:rsidP="006356D8">
            <w:pPr>
              <w:pStyle w:val="ListParagraph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ტიპი 2 დიაბეტით გამოწვეული ნაადრევი სიკვდილიანობა 100,000 მოსახლეზე</w:t>
            </w:r>
          </w:p>
        </w:tc>
      </w:tr>
      <w:tr w:rsidR="006356D8" w:rsidRPr="006356D8" w14:paraId="1113D91E" w14:textId="77777777" w:rsidTr="005D3B8E">
        <w:trPr>
          <w:trHeight w:val="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  <w:shd w:val="clear" w:color="auto" w:fill="auto"/>
          </w:tcPr>
          <w:p w14:paraId="0BEE82F0" w14:textId="77777777" w:rsidR="00124CD6" w:rsidRPr="006356D8" w:rsidRDefault="00124CD6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5821F260" w14:textId="3D2CB0EB" w:rsidR="00124CD6" w:rsidRPr="006356D8" w:rsidRDefault="00124CD6" w:rsidP="006356D8">
            <w:pPr>
              <w:spacing w:before="120" w:after="0" w:line="240" w:lineRule="auto"/>
              <w:ind w:right="-106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 xml:space="preserve">ქრონიკული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რესპორატორული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დაავადებები</w:t>
            </w:r>
          </w:p>
        </w:tc>
        <w:tc>
          <w:tcPr>
            <w:tcW w:w="1701" w:type="dxa"/>
            <w:shd w:val="clear" w:color="auto" w:fill="auto"/>
          </w:tcPr>
          <w:p w14:paraId="4F6E4A57" w14:textId="46EE6DBA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გავლენის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E3A5803" w14:textId="1BB6D41F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2.3</w:t>
            </w:r>
          </w:p>
        </w:tc>
        <w:tc>
          <w:tcPr>
            <w:tcW w:w="9355" w:type="dxa"/>
            <w:shd w:val="clear" w:color="auto" w:fill="auto"/>
          </w:tcPr>
          <w:p w14:paraId="2F4F5244" w14:textId="4CB3056F" w:rsidR="00124CD6" w:rsidRPr="006356D8" w:rsidRDefault="00124CD6" w:rsidP="006356D8">
            <w:pPr>
              <w:pStyle w:val="ListParagraph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ქრონიკული  რესპირატორული დაავადებებით გამოწვეული ნაადრევი სიკვდილიანობა 100,000 მოსახლეზე</w:t>
            </w:r>
          </w:p>
        </w:tc>
      </w:tr>
      <w:tr w:rsidR="006356D8" w:rsidRPr="006356D8" w14:paraId="79997EA4" w14:textId="77777777" w:rsidTr="005D3B8E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  <w:shd w:val="clear" w:color="auto" w:fill="auto"/>
          </w:tcPr>
          <w:p w14:paraId="4478E472" w14:textId="77777777" w:rsidR="00124CD6" w:rsidRPr="006356D8" w:rsidRDefault="00124CD6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6CE0C220" w14:textId="3BDC653B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ონკოლოგია</w:t>
            </w:r>
          </w:p>
        </w:tc>
        <w:tc>
          <w:tcPr>
            <w:tcW w:w="1701" w:type="dxa"/>
            <w:shd w:val="clear" w:color="auto" w:fill="auto"/>
          </w:tcPr>
          <w:p w14:paraId="3ED3A3A0" w14:textId="43F44DD7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გავლენის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DDCA91F" w14:textId="66EDAC0D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2.4</w:t>
            </w:r>
          </w:p>
        </w:tc>
        <w:tc>
          <w:tcPr>
            <w:tcW w:w="9355" w:type="dxa"/>
            <w:shd w:val="clear" w:color="auto" w:fill="auto"/>
          </w:tcPr>
          <w:p w14:paraId="3550D8CA" w14:textId="1E43AF1B" w:rsidR="00124CD6" w:rsidRPr="006356D8" w:rsidRDefault="00124CD6" w:rsidP="006356D8">
            <w:pPr>
              <w:pStyle w:val="ListParagraph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ონკოლოგიური დაავადებებით გამოწვეული სიკვდილიანობა 100,000 მოსახლეზე</w:t>
            </w:r>
          </w:p>
        </w:tc>
      </w:tr>
      <w:tr w:rsidR="006356D8" w:rsidRPr="006356D8" w14:paraId="4079ACF1" w14:textId="77777777" w:rsidTr="005D3B8E">
        <w:trPr>
          <w:trHeight w:val="6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shd w:val="clear" w:color="auto" w:fill="auto"/>
          </w:tcPr>
          <w:p w14:paraId="42058996" w14:textId="71AF4BD5" w:rsidR="00124CD6" w:rsidRPr="006356D8" w:rsidRDefault="00124CD6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ფინანსური დაცულობა</w:t>
            </w:r>
          </w:p>
        </w:tc>
        <w:tc>
          <w:tcPr>
            <w:tcW w:w="1843" w:type="dxa"/>
            <w:shd w:val="clear" w:color="auto" w:fill="auto"/>
          </w:tcPr>
          <w:p w14:paraId="697C0792" w14:textId="77777777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</w:p>
        </w:tc>
        <w:tc>
          <w:tcPr>
            <w:tcW w:w="1701" w:type="dxa"/>
            <w:shd w:val="clear" w:color="auto" w:fill="auto"/>
          </w:tcPr>
          <w:p w14:paraId="3F332986" w14:textId="5D0416D0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გამოსავლის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0ECDA4" w14:textId="08FBEF02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3</w:t>
            </w:r>
          </w:p>
        </w:tc>
        <w:tc>
          <w:tcPr>
            <w:tcW w:w="9355" w:type="dxa"/>
            <w:shd w:val="clear" w:color="auto" w:fill="auto"/>
          </w:tcPr>
          <w:p w14:paraId="6DF3E3DE" w14:textId="2045E4D6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პოპულაციის წილი, რომლებიც განიცდიან კატასტროფულ დანახარჯებს ჯანდაცვაზე</w:t>
            </w:r>
          </w:p>
        </w:tc>
      </w:tr>
      <w:tr w:rsidR="006356D8" w:rsidRPr="006356D8" w14:paraId="76A5CD61" w14:textId="77777777" w:rsidTr="005D3B8E">
        <w:trPr>
          <w:trHeight w:val="3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 w:val="restart"/>
            <w:shd w:val="clear" w:color="auto" w:fill="auto"/>
            <w:textDirection w:val="btLr"/>
          </w:tcPr>
          <w:p w14:paraId="74EF50E0" w14:textId="728E3B27" w:rsidR="00124CD6" w:rsidRPr="006356D8" w:rsidRDefault="00124CD6" w:rsidP="006356D8">
            <w:pPr>
              <w:spacing w:before="120" w:after="0" w:line="240" w:lineRule="auto"/>
              <w:ind w:left="113" w:right="113"/>
              <w:jc w:val="center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lastRenderedPageBreak/>
              <w:t xml:space="preserve">დაავადებების მართვა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პჯდ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დონეზე</w:t>
            </w:r>
          </w:p>
        </w:tc>
        <w:tc>
          <w:tcPr>
            <w:tcW w:w="1843" w:type="dxa"/>
            <w:shd w:val="clear" w:color="auto" w:fill="auto"/>
          </w:tcPr>
          <w:p w14:paraId="1BFEA075" w14:textId="77777777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</w:p>
        </w:tc>
        <w:tc>
          <w:tcPr>
            <w:tcW w:w="1701" w:type="dxa"/>
            <w:shd w:val="clear" w:color="auto" w:fill="auto"/>
          </w:tcPr>
          <w:p w14:paraId="495779B7" w14:textId="29FBCAF9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გამოსავლის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74C25FD" w14:textId="3D7F0780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4</w:t>
            </w:r>
          </w:p>
        </w:tc>
        <w:tc>
          <w:tcPr>
            <w:tcW w:w="9355" w:type="dxa"/>
            <w:shd w:val="clear" w:color="auto" w:fill="auto"/>
          </w:tcPr>
          <w:p w14:paraId="6F5A4F6C" w14:textId="2944CF64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ამბულატორიულად მართვადი დაავადებებით ჰოსპიტალიზაციის მაჩვენებელი 100,000 მოსახლეზე</w:t>
            </w:r>
          </w:p>
        </w:tc>
      </w:tr>
      <w:tr w:rsidR="006356D8" w:rsidRPr="006356D8" w14:paraId="32E97343" w14:textId="77777777" w:rsidTr="005D3B8E">
        <w:trPr>
          <w:trHeight w:val="3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  <w:shd w:val="clear" w:color="auto" w:fill="auto"/>
          </w:tcPr>
          <w:p w14:paraId="09792FD4" w14:textId="77777777" w:rsidR="00124CD6" w:rsidRPr="006356D8" w:rsidRDefault="00124CD6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092CA0B3" w14:textId="5DD5FB2E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სტენოკარდია</w:t>
            </w:r>
          </w:p>
        </w:tc>
        <w:tc>
          <w:tcPr>
            <w:tcW w:w="1701" w:type="dxa"/>
            <w:shd w:val="clear" w:color="auto" w:fill="auto"/>
          </w:tcPr>
          <w:p w14:paraId="5DA327DC" w14:textId="6B57D186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გამოსავლის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C5FF7FD" w14:textId="7EF9F79D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4.1</w:t>
            </w:r>
          </w:p>
        </w:tc>
        <w:tc>
          <w:tcPr>
            <w:tcW w:w="9355" w:type="dxa"/>
            <w:shd w:val="clear" w:color="auto" w:fill="auto"/>
          </w:tcPr>
          <w:p w14:paraId="68B9972C" w14:textId="0DD5E5E1" w:rsidR="00124CD6" w:rsidRPr="006356D8" w:rsidRDefault="00124CD6" w:rsidP="006356D8">
            <w:pPr>
              <w:pStyle w:val="ListParagraph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სტენოკარდია</w:t>
            </w:r>
          </w:p>
        </w:tc>
      </w:tr>
      <w:tr w:rsidR="006356D8" w:rsidRPr="006356D8" w14:paraId="2509291B" w14:textId="77777777" w:rsidTr="005D3B8E">
        <w:trPr>
          <w:trHeight w:val="3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  <w:shd w:val="clear" w:color="auto" w:fill="auto"/>
          </w:tcPr>
          <w:p w14:paraId="63F3A0A6" w14:textId="77777777" w:rsidR="00124CD6" w:rsidRPr="006356D8" w:rsidRDefault="00124CD6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1466DBB8" w14:textId="1B533543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გიდ</w:t>
            </w:r>
          </w:p>
        </w:tc>
        <w:tc>
          <w:tcPr>
            <w:tcW w:w="1701" w:type="dxa"/>
            <w:shd w:val="clear" w:color="auto" w:fill="auto"/>
          </w:tcPr>
          <w:p w14:paraId="5004D4A1" w14:textId="230DF9F1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გამოსავლის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62F4A8" w14:textId="685C62D7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4.2</w:t>
            </w:r>
          </w:p>
        </w:tc>
        <w:tc>
          <w:tcPr>
            <w:tcW w:w="9355" w:type="dxa"/>
            <w:shd w:val="clear" w:color="auto" w:fill="auto"/>
          </w:tcPr>
          <w:p w14:paraId="6350924B" w14:textId="0EBFD666" w:rsidR="00124CD6" w:rsidRPr="006356D8" w:rsidRDefault="00124CD6" w:rsidP="006356D8">
            <w:pPr>
              <w:pStyle w:val="ListParagraph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 xml:space="preserve">გულის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შეგუბებითი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უკმარისობა</w:t>
            </w:r>
          </w:p>
        </w:tc>
      </w:tr>
      <w:tr w:rsidR="006356D8" w:rsidRPr="006356D8" w14:paraId="79EB4155" w14:textId="77777777" w:rsidTr="005D3B8E">
        <w:trPr>
          <w:trHeight w:val="3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  <w:shd w:val="clear" w:color="auto" w:fill="auto"/>
          </w:tcPr>
          <w:p w14:paraId="01141E06" w14:textId="77777777" w:rsidR="00124CD6" w:rsidRPr="006356D8" w:rsidRDefault="00124CD6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7BD08CEA" w14:textId="0EA79B46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proofErr w:type="spellStart"/>
            <w:r w:rsidRPr="006356D8">
              <w:rPr>
                <w:rFonts w:eastAsia="Times New Roman" w:cs="Calibri"/>
                <w:lang w:eastAsia="en-GB"/>
              </w:rPr>
              <w:t>ფქოდ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3FCF120B" w14:textId="6A3A5A8E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გამოსავლის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BC02437" w14:textId="727420FB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4.3</w:t>
            </w:r>
          </w:p>
        </w:tc>
        <w:tc>
          <w:tcPr>
            <w:tcW w:w="9355" w:type="dxa"/>
            <w:shd w:val="clear" w:color="auto" w:fill="auto"/>
          </w:tcPr>
          <w:p w14:paraId="153A5568" w14:textId="692CD2F6" w:rsidR="00124CD6" w:rsidRPr="006356D8" w:rsidRDefault="00124CD6" w:rsidP="006356D8">
            <w:pPr>
              <w:pStyle w:val="ListParagraph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ფილტვის ქრონიკული ობსტრუქციული დაავადება (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ფქოდ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>)</w:t>
            </w:r>
          </w:p>
        </w:tc>
      </w:tr>
      <w:tr w:rsidR="006356D8" w:rsidRPr="006356D8" w14:paraId="1B446406" w14:textId="77777777" w:rsidTr="005D3B8E">
        <w:trPr>
          <w:trHeight w:val="3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  <w:shd w:val="clear" w:color="auto" w:fill="auto"/>
          </w:tcPr>
          <w:p w14:paraId="3253CF4F" w14:textId="77777777" w:rsidR="00124CD6" w:rsidRPr="006356D8" w:rsidRDefault="00124CD6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5444C617" w14:textId="6DD85328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დიაბეტი</w:t>
            </w:r>
          </w:p>
        </w:tc>
        <w:tc>
          <w:tcPr>
            <w:tcW w:w="1701" w:type="dxa"/>
            <w:shd w:val="clear" w:color="auto" w:fill="auto"/>
          </w:tcPr>
          <w:p w14:paraId="07C58733" w14:textId="5BB0E8C7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გამოსავლის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D73F859" w14:textId="7954A83A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4.4</w:t>
            </w:r>
          </w:p>
        </w:tc>
        <w:tc>
          <w:tcPr>
            <w:tcW w:w="9355" w:type="dxa"/>
            <w:shd w:val="clear" w:color="auto" w:fill="auto"/>
          </w:tcPr>
          <w:p w14:paraId="050B3D89" w14:textId="6ED51344" w:rsidR="00124CD6" w:rsidRPr="006356D8" w:rsidRDefault="00124CD6" w:rsidP="006356D8">
            <w:pPr>
              <w:pStyle w:val="ListParagraph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ტიპი 2 დიაბეტი</w:t>
            </w:r>
          </w:p>
        </w:tc>
      </w:tr>
      <w:tr w:rsidR="006356D8" w:rsidRPr="006356D8" w14:paraId="51D495A0" w14:textId="77777777" w:rsidTr="005D3B8E">
        <w:trPr>
          <w:trHeight w:val="3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 w:val="restart"/>
            <w:shd w:val="clear" w:color="auto" w:fill="auto"/>
            <w:textDirection w:val="btLr"/>
          </w:tcPr>
          <w:p w14:paraId="1E47644A" w14:textId="6BAD7C76" w:rsidR="00124CD6" w:rsidRPr="006356D8" w:rsidRDefault="00124CD6" w:rsidP="006356D8">
            <w:pPr>
              <w:spacing w:before="120" w:after="0" w:line="240" w:lineRule="auto"/>
              <w:ind w:left="113" w:right="113"/>
              <w:jc w:val="center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 xml:space="preserve">დაავადებათა ადრეული გამოვლენა და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სკრინინგი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33DF2939" w14:textId="77777777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</w:p>
        </w:tc>
        <w:tc>
          <w:tcPr>
            <w:tcW w:w="1701" w:type="dxa"/>
            <w:shd w:val="clear" w:color="auto" w:fill="auto"/>
          </w:tcPr>
          <w:p w14:paraId="31F34941" w14:textId="79341CB7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პროცესის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94D1850" w14:textId="45CA03A9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5</w:t>
            </w:r>
          </w:p>
        </w:tc>
        <w:tc>
          <w:tcPr>
            <w:tcW w:w="9355" w:type="dxa"/>
            <w:shd w:val="clear" w:color="auto" w:fill="auto"/>
          </w:tcPr>
          <w:p w14:paraId="3DAA859C" w14:textId="7920D375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 xml:space="preserve">კიბოს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სკრინინგში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რისკ-ჯგუფების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რეფერალი</w:t>
            </w:r>
            <w:proofErr w:type="spellEnd"/>
          </w:p>
        </w:tc>
      </w:tr>
      <w:tr w:rsidR="006356D8" w:rsidRPr="006356D8" w14:paraId="4B06B552" w14:textId="77777777" w:rsidTr="005D3B8E">
        <w:trPr>
          <w:trHeight w:val="8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  <w:shd w:val="clear" w:color="auto" w:fill="auto"/>
          </w:tcPr>
          <w:p w14:paraId="29709903" w14:textId="77777777" w:rsidR="00124CD6" w:rsidRPr="006356D8" w:rsidRDefault="00124CD6" w:rsidP="006356D8">
            <w:pPr>
              <w:spacing w:before="120" w:after="0" w:line="240" w:lineRule="auto"/>
              <w:jc w:val="center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5FAAE05B" w14:textId="68236D45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კიბო</w:t>
            </w:r>
          </w:p>
        </w:tc>
        <w:tc>
          <w:tcPr>
            <w:tcW w:w="1701" w:type="dxa"/>
            <w:shd w:val="clear" w:color="auto" w:fill="auto"/>
          </w:tcPr>
          <w:p w14:paraId="4697F709" w14:textId="3B9F2D94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პროცესის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54BD940" w14:textId="4DF734AB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5.1</w:t>
            </w:r>
          </w:p>
        </w:tc>
        <w:tc>
          <w:tcPr>
            <w:tcW w:w="9355" w:type="dxa"/>
            <w:shd w:val="clear" w:color="auto" w:fill="auto"/>
          </w:tcPr>
          <w:p w14:paraId="79DA694D" w14:textId="3F8C150E" w:rsidR="00124CD6" w:rsidRPr="006356D8" w:rsidRDefault="00124CD6" w:rsidP="006356D8">
            <w:pPr>
              <w:pStyle w:val="ListParagraph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 xml:space="preserve">40-დან 70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წწ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ქალების ძუძუს კიბოს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სკრინინგში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რეფერალი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- სერვისის მიმწოდებელთან ბენეფიციარების ვიზიტის დაჯავშნა</w:t>
            </w:r>
          </w:p>
        </w:tc>
      </w:tr>
      <w:tr w:rsidR="006356D8" w:rsidRPr="006356D8" w14:paraId="735121CF" w14:textId="77777777" w:rsidTr="005D3B8E">
        <w:trPr>
          <w:trHeight w:val="3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  <w:shd w:val="clear" w:color="auto" w:fill="auto"/>
          </w:tcPr>
          <w:p w14:paraId="00D57ECB" w14:textId="77777777" w:rsidR="00124CD6" w:rsidRPr="006356D8" w:rsidRDefault="00124CD6" w:rsidP="006356D8">
            <w:pPr>
              <w:spacing w:before="120" w:after="0" w:line="240" w:lineRule="auto"/>
              <w:jc w:val="center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196DEEE4" w14:textId="440F2E0E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კიბო</w:t>
            </w:r>
          </w:p>
        </w:tc>
        <w:tc>
          <w:tcPr>
            <w:tcW w:w="1701" w:type="dxa"/>
            <w:shd w:val="clear" w:color="auto" w:fill="auto"/>
          </w:tcPr>
          <w:p w14:paraId="235B0307" w14:textId="64A46D1E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პროცესის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C2B660D" w14:textId="3435A5AD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5.2</w:t>
            </w:r>
          </w:p>
        </w:tc>
        <w:tc>
          <w:tcPr>
            <w:tcW w:w="9355" w:type="dxa"/>
            <w:shd w:val="clear" w:color="auto" w:fill="auto"/>
          </w:tcPr>
          <w:p w14:paraId="17F6D4DF" w14:textId="7C1090ED" w:rsidR="00124CD6" w:rsidRPr="006356D8" w:rsidRDefault="00124CD6" w:rsidP="006356D8">
            <w:pPr>
              <w:pStyle w:val="ListParagraph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 xml:space="preserve">25-60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წწ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ქალების საშვილოსნოს ყელის კიბოს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სკრინინგში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რეფერალი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-სერვისის მიმწოდებელთან ბენეფიციარების ვიზიტის დაჯავშნა</w:t>
            </w:r>
          </w:p>
        </w:tc>
      </w:tr>
      <w:tr w:rsidR="006356D8" w:rsidRPr="006356D8" w14:paraId="096B5D86" w14:textId="77777777" w:rsidTr="005D3B8E">
        <w:trPr>
          <w:trHeight w:val="3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  <w:shd w:val="clear" w:color="auto" w:fill="auto"/>
          </w:tcPr>
          <w:p w14:paraId="469F9387" w14:textId="77777777" w:rsidR="00124CD6" w:rsidRPr="006356D8" w:rsidRDefault="00124CD6" w:rsidP="006356D8">
            <w:pPr>
              <w:spacing w:before="120" w:after="0" w:line="240" w:lineRule="auto"/>
              <w:jc w:val="center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72EB72E3" w14:textId="506B3857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კიბო</w:t>
            </w:r>
          </w:p>
        </w:tc>
        <w:tc>
          <w:tcPr>
            <w:tcW w:w="1701" w:type="dxa"/>
            <w:shd w:val="clear" w:color="auto" w:fill="auto"/>
          </w:tcPr>
          <w:p w14:paraId="11CB0898" w14:textId="12FAF663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პროცესის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FD43FB6" w14:textId="6C09BE32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5.3</w:t>
            </w:r>
          </w:p>
        </w:tc>
        <w:tc>
          <w:tcPr>
            <w:tcW w:w="9355" w:type="dxa"/>
            <w:shd w:val="clear" w:color="auto" w:fill="auto"/>
          </w:tcPr>
          <w:p w14:paraId="5C9CE0DD" w14:textId="3FE11F54" w:rsidR="00124CD6" w:rsidRPr="006356D8" w:rsidRDefault="00124CD6" w:rsidP="006356D8">
            <w:pPr>
              <w:pStyle w:val="ListParagraph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 xml:space="preserve">50-70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წწ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პირებში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კოლორექტული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კიბოს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სკრინინგში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რეფერალი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- სერვისის მიმწოდებელთან ბენეფიციარების ვიზიტის დაჯავშნა</w:t>
            </w:r>
          </w:p>
        </w:tc>
      </w:tr>
      <w:tr w:rsidR="006356D8" w:rsidRPr="006356D8" w14:paraId="65F22D6A" w14:textId="77777777" w:rsidTr="005D3B8E">
        <w:trPr>
          <w:trHeight w:val="3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  <w:shd w:val="clear" w:color="auto" w:fill="auto"/>
          </w:tcPr>
          <w:p w14:paraId="664C6C9F" w14:textId="77777777" w:rsidR="00124CD6" w:rsidRPr="006356D8" w:rsidRDefault="00124CD6" w:rsidP="006356D8">
            <w:pPr>
              <w:spacing w:before="120" w:after="0" w:line="240" w:lineRule="auto"/>
              <w:jc w:val="center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1CF00361" w14:textId="4E155E01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proofErr w:type="spellStart"/>
            <w:r w:rsidRPr="006356D8">
              <w:rPr>
                <w:rFonts w:eastAsia="Times New Roman" w:cs="Calibri"/>
                <w:lang w:val="en-US" w:eastAsia="en-GB"/>
              </w:rPr>
              <w:t>HepC</w:t>
            </w:r>
            <w:proofErr w:type="spellEnd"/>
            <w:r w:rsidRPr="006356D8">
              <w:rPr>
                <w:rFonts w:eastAsia="Times New Roman" w:cs="Calibri"/>
                <w:lang w:val="en-US" w:eastAsia="en-GB"/>
              </w:rPr>
              <w:t xml:space="preserve">, </w:t>
            </w:r>
            <w:r w:rsidRPr="006356D8">
              <w:rPr>
                <w:rFonts w:eastAsia="Times New Roman" w:cs="Calibri"/>
                <w:lang w:eastAsia="en-GB"/>
              </w:rPr>
              <w:t>ტუბ, აივ/შიდსი</w:t>
            </w:r>
          </w:p>
        </w:tc>
        <w:tc>
          <w:tcPr>
            <w:tcW w:w="1701" w:type="dxa"/>
            <w:shd w:val="clear" w:color="auto" w:fill="auto"/>
          </w:tcPr>
          <w:p w14:paraId="282DF32E" w14:textId="6333C725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შედეგის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90625C" w14:textId="40DCB689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6</w:t>
            </w:r>
          </w:p>
        </w:tc>
        <w:tc>
          <w:tcPr>
            <w:tcW w:w="9355" w:type="dxa"/>
            <w:shd w:val="clear" w:color="auto" w:fill="auto"/>
          </w:tcPr>
          <w:p w14:paraId="011A3865" w14:textId="622A2D94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 xml:space="preserve">C ჰეპატიტის, ტუბერკულოზის, აივ/შიდსის ორგანიზებული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სკრინინგით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მოცვა</w:t>
            </w:r>
          </w:p>
        </w:tc>
      </w:tr>
      <w:tr w:rsidR="006356D8" w:rsidRPr="006356D8" w14:paraId="251D50F5" w14:textId="77777777" w:rsidTr="005D3B8E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 w:val="restart"/>
            <w:shd w:val="clear" w:color="auto" w:fill="auto"/>
            <w:textDirection w:val="btLr"/>
          </w:tcPr>
          <w:p w14:paraId="462D2FA1" w14:textId="2523F1A9" w:rsidR="00124CD6" w:rsidRPr="006356D8" w:rsidRDefault="00124CD6" w:rsidP="006356D8">
            <w:pPr>
              <w:spacing w:before="120" w:after="0" w:line="240" w:lineRule="auto"/>
              <w:ind w:left="113" w:right="113"/>
              <w:jc w:val="center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 xml:space="preserve">დაავადებათა დიაგნოსტიკა, მართვა და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რეფერალი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4E890349" w14:textId="77777777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</w:p>
        </w:tc>
        <w:tc>
          <w:tcPr>
            <w:tcW w:w="1701" w:type="dxa"/>
            <w:shd w:val="clear" w:color="auto" w:fill="auto"/>
          </w:tcPr>
          <w:p w14:paraId="0B179A7B" w14:textId="1C6AE5D8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პროცესის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E720B4" w14:textId="160B218F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7</w:t>
            </w:r>
          </w:p>
        </w:tc>
        <w:tc>
          <w:tcPr>
            <w:tcW w:w="9355" w:type="dxa"/>
            <w:shd w:val="clear" w:color="auto" w:fill="auto"/>
          </w:tcPr>
          <w:p w14:paraId="23DE6033" w14:textId="04D61B03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 xml:space="preserve">სპეციალისტებთან პაციენტთა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რეფერალი</w:t>
            </w:r>
            <w:proofErr w:type="spellEnd"/>
          </w:p>
        </w:tc>
      </w:tr>
      <w:tr w:rsidR="006356D8" w:rsidRPr="006356D8" w14:paraId="08DAC67D" w14:textId="77777777" w:rsidTr="005D3B8E">
        <w:trPr>
          <w:trHeight w:val="3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  <w:shd w:val="clear" w:color="auto" w:fill="auto"/>
          </w:tcPr>
          <w:p w14:paraId="45F7D53F" w14:textId="77777777" w:rsidR="00124CD6" w:rsidRPr="006356D8" w:rsidRDefault="00124CD6" w:rsidP="006356D8">
            <w:pPr>
              <w:spacing w:before="120" w:after="0" w:line="240" w:lineRule="auto"/>
              <w:jc w:val="center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4FBCA86E" w14:textId="3F3DA19D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proofErr w:type="spellStart"/>
            <w:r w:rsidRPr="006356D8">
              <w:rPr>
                <w:rFonts w:eastAsia="Times New Roman" w:cs="Calibri"/>
                <w:lang w:eastAsia="en-GB"/>
              </w:rPr>
              <w:t>ჰიპერტენზია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096B80BA" w14:textId="36405CF0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პროცესის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30F5350" w14:textId="2FB3688B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7.1</w:t>
            </w:r>
          </w:p>
        </w:tc>
        <w:tc>
          <w:tcPr>
            <w:tcW w:w="9355" w:type="dxa"/>
            <w:shd w:val="clear" w:color="auto" w:fill="auto"/>
          </w:tcPr>
          <w:p w14:paraId="3DFC0864" w14:textId="0D3EF6AF" w:rsidR="00124CD6" w:rsidRPr="006356D8" w:rsidRDefault="00124CD6" w:rsidP="006356D8">
            <w:pPr>
              <w:pStyle w:val="ListParagraph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proofErr w:type="spellStart"/>
            <w:r w:rsidRPr="006356D8">
              <w:rPr>
                <w:rFonts w:eastAsia="Times New Roman" w:cs="Calibri"/>
                <w:lang w:eastAsia="en-GB"/>
              </w:rPr>
              <w:t>ჰიპერტენზიის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მართვისთვის კარდიოლოგთან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რეფერალის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ხვედრითი წილი აღნიშნული დიაგნოზით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პჯდ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>-ში ვიზიტების საერთო რაოდენობაში</w:t>
            </w:r>
          </w:p>
        </w:tc>
      </w:tr>
      <w:tr w:rsidR="006356D8" w:rsidRPr="006356D8" w14:paraId="324623F9" w14:textId="77777777" w:rsidTr="005D3B8E">
        <w:trPr>
          <w:trHeight w:val="3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  <w:shd w:val="clear" w:color="auto" w:fill="auto"/>
          </w:tcPr>
          <w:p w14:paraId="71BA84FF" w14:textId="77777777" w:rsidR="00124CD6" w:rsidRPr="006356D8" w:rsidRDefault="00124CD6" w:rsidP="006356D8">
            <w:pPr>
              <w:spacing w:before="120" w:after="0" w:line="240" w:lineRule="auto"/>
              <w:jc w:val="center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1B8D27D8" w14:textId="7EECB9C3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გიდ</w:t>
            </w:r>
          </w:p>
        </w:tc>
        <w:tc>
          <w:tcPr>
            <w:tcW w:w="1701" w:type="dxa"/>
            <w:shd w:val="clear" w:color="auto" w:fill="auto"/>
          </w:tcPr>
          <w:p w14:paraId="1EB73EEE" w14:textId="4CBAE38E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პროცესის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5B72AB" w14:textId="72D1F550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7.2</w:t>
            </w:r>
          </w:p>
        </w:tc>
        <w:tc>
          <w:tcPr>
            <w:tcW w:w="9355" w:type="dxa"/>
            <w:shd w:val="clear" w:color="auto" w:fill="auto"/>
          </w:tcPr>
          <w:p w14:paraId="764AE528" w14:textId="41DBC01C" w:rsidR="00124CD6" w:rsidRPr="006356D8" w:rsidRDefault="00124CD6" w:rsidP="006356D8">
            <w:pPr>
              <w:pStyle w:val="ListParagraph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 xml:space="preserve">გიდ მართვისთვის კარდიოლოგთან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რეფერალის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ხვედრითი წილი აღნიშნული დიაგნოზით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პჯდ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>-ში ვიზიტების საერთო რაოდენობაში</w:t>
            </w:r>
          </w:p>
        </w:tc>
      </w:tr>
      <w:tr w:rsidR="006356D8" w:rsidRPr="006356D8" w14:paraId="6228D8B1" w14:textId="77777777" w:rsidTr="005D3B8E">
        <w:trPr>
          <w:trHeight w:val="3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  <w:shd w:val="clear" w:color="auto" w:fill="auto"/>
          </w:tcPr>
          <w:p w14:paraId="150B0959" w14:textId="77777777" w:rsidR="00124CD6" w:rsidRPr="006356D8" w:rsidRDefault="00124CD6" w:rsidP="006356D8">
            <w:pPr>
              <w:spacing w:before="120" w:after="0" w:line="240" w:lineRule="auto"/>
              <w:jc w:val="center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6372461D" w14:textId="4A3B81A5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დიაბეტი</w:t>
            </w:r>
          </w:p>
        </w:tc>
        <w:tc>
          <w:tcPr>
            <w:tcW w:w="1701" w:type="dxa"/>
            <w:shd w:val="clear" w:color="auto" w:fill="auto"/>
          </w:tcPr>
          <w:p w14:paraId="2E4C4516" w14:textId="4C920E3C" w:rsidR="00124CD6" w:rsidRPr="006356D8" w:rsidRDefault="00124CD6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პროცესის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6DA57E3" w14:textId="19EF656C" w:rsidR="00124CD6" w:rsidRPr="006356D8" w:rsidRDefault="00124CD6" w:rsidP="005D3B8E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7.3</w:t>
            </w:r>
          </w:p>
        </w:tc>
        <w:tc>
          <w:tcPr>
            <w:tcW w:w="9355" w:type="dxa"/>
            <w:shd w:val="clear" w:color="auto" w:fill="auto"/>
          </w:tcPr>
          <w:p w14:paraId="316A9D7F" w14:textId="12456A64" w:rsidR="00124CD6" w:rsidRPr="006356D8" w:rsidRDefault="00124CD6" w:rsidP="006356D8">
            <w:pPr>
              <w:pStyle w:val="ListParagraph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 xml:space="preserve">ტიპი 2 დიაბეტის მართვისთვის ენდოკრინოლოგთან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რეფერალის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ხვედრითი წილი აღნიშნული დიაგნოზით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პჯდ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>-ში ვიზიტების საერთო რაოდენობაში</w:t>
            </w:r>
          </w:p>
        </w:tc>
      </w:tr>
      <w:tr w:rsidR="00CD7A81" w:rsidRPr="006356D8" w14:paraId="5085D24C" w14:textId="77777777" w:rsidTr="00E841F1">
        <w:trPr>
          <w:trHeight w:val="1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 w:val="restart"/>
            <w:textDirection w:val="btLr"/>
          </w:tcPr>
          <w:p w14:paraId="5F2BE117" w14:textId="1A83C8A9" w:rsidR="00CD7A81" w:rsidRPr="006356D8" w:rsidRDefault="00CD7A81" w:rsidP="006356D8">
            <w:pPr>
              <w:spacing w:before="120" w:after="0" w:line="240" w:lineRule="auto"/>
              <w:ind w:left="113" w:right="113"/>
              <w:jc w:val="center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ქრონიკული დაავადებების მართვა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1670B38" w14:textId="37776B54" w:rsidR="00CD7A81" w:rsidRPr="006356D8" w:rsidRDefault="00CD7A81" w:rsidP="00E841F1">
            <w:pPr>
              <w:spacing w:before="120"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proofErr w:type="spellStart"/>
            <w:r w:rsidRPr="006356D8">
              <w:rPr>
                <w:rFonts w:eastAsia="Times New Roman" w:cs="Calibri"/>
                <w:lang w:eastAsia="en-GB"/>
              </w:rPr>
              <w:t>ჰიპერტენზია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14:paraId="293FDA2E" w14:textId="2CF6629B" w:rsidR="00CD7A81" w:rsidRPr="006356D8" w:rsidRDefault="00CD7A81" w:rsidP="00E841F1">
            <w:pPr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პროცესის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C5CA57C" w14:textId="62ED7F14" w:rsidR="00CD7A81" w:rsidRPr="006356D8" w:rsidRDefault="00CD7A81" w:rsidP="00E841F1">
            <w:pPr>
              <w:tabs>
                <w:tab w:val="left" w:pos="307"/>
              </w:tabs>
              <w:spacing w:before="120"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>
              <w:rPr>
                <w:rFonts w:eastAsia="Times New Roman" w:cs="Calibri"/>
                <w:lang w:eastAsia="en-GB"/>
              </w:rPr>
              <w:t>8</w:t>
            </w:r>
          </w:p>
        </w:tc>
        <w:tc>
          <w:tcPr>
            <w:tcW w:w="9355" w:type="dxa"/>
            <w:shd w:val="clear" w:color="auto" w:fill="auto"/>
            <w:vAlign w:val="center"/>
          </w:tcPr>
          <w:p w14:paraId="59453EC4" w14:textId="6619264A" w:rsidR="00CD7A81" w:rsidRPr="00E841F1" w:rsidRDefault="00CD7A81" w:rsidP="00E841F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 xml:space="preserve">მოცვა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ჰიპერტენზიული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ავადმყოფობების გამო</w:t>
            </w:r>
          </w:p>
        </w:tc>
      </w:tr>
      <w:tr w:rsidR="006356D8" w:rsidRPr="006356D8" w14:paraId="7DA3F9D2" w14:textId="77777777" w:rsidTr="005D3B8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1F8912F5" w14:textId="77777777" w:rsidR="00FB493F" w:rsidRPr="006356D8" w:rsidRDefault="00FB493F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68A904E3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დიაბეტი</w:t>
            </w:r>
          </w:p>
        </w:tc>
        <w:tc>
          <w:tcPr>
            <w:tcW w:w="1701" w:type="dxa"/>
            <w:shd w:val="clear" w:color="auto" w:fill="auto"/>
          </w:tcPr>
          <w:p w14:paraId="63FCE680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პროცესის, კლინიკური ეფექტურობის გასაზომად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D19A1EE" w14:textId="6FE1338F" w:rsidR="00FB493F" w:rsidRPr="006356D8" w:rsidRDefault="00CD7A81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>
              <w:rPr>
                <w:rFonts w:eastAsia="Times New Roman" w:cs="Calibri"/>
                <w:lang w:val="en-US" w:eastAsia="en-GB"/>
              </w:rPr>
              <w:t>9</w:t>
            </w:r>
          </w:p>
        </w:tc>
        <w:tc>
          <w:tcPr>
            <w:tcW w:w="9355" w:type="dxa"/>
            <w:shd w:val="clear" w:color="auto" w:fill="auto"/>
          </w:tcPr>
          <w:p w14:paraId="2B65DB8A" w14:textId="2B8911AA" w:rsidR="00FB6BD7" w:rsidRPr="006356D8" w:rsidRDefault="00FB6BD7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 xml:space="preserve">HbA1c 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სკრინინგი</w:t>
            </w:r>
            <w:proofErr w:type="spellEnd"/>
          </w:p>
        </w:tc>
      </w:tr>
      <w:tr w:rsidR="006356D8" w:rsidRPr="006356D8" w14:paraId="7F1BDFD1" w14:textId="77777777" w:rsidTr="005D3B8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16B3F271" w14:textId="77777777" w:rsidR="00FB493F" w:rsidRPr="006356D8" w:rsidRDefault="00FB493F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106883FD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დიაბეტი</w:t>
            </w:r>
          </w:p>
        </w:tc>
        <w:tc>
          <w:tcPr>
            <w:tcW w:w="1701" w:type="dxa"/>
            <w:shd w:val="clear" w:color="auto" w:fill="auto"/>
          </w:tcPr>
          <w:p w14:paraId="48086656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პროცესის, კლინიკური ეფექტურობის გასაზომად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F971D9" w14:textId="20ECB797" w:rsidR="00FB493F" w:rsidRPr="006356D8" w:rsidRDefault="00CD7A81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>
              <w:rPr>
                <w:rFonts w:eastAsia="Times New Roman" w:cs="Calibri"/>
                <w:lang w:val="en-US" w:eastAsia="en-GB"/>
              </w:rPr>
              <w:t>10</w:t>
            </w:r>
          </w:p>
        </w:tc>
        <w:tc>
          <w:tcPr>
            <w:tcW w:w="9355" w:type="dxa"/>
            <w:shd w:val="clear" w:color="auto" w:fill="auto"/>
          </w:tcPr>
          <w:p w14:paraId="629166A6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 xml:space="preserve">დიაბეტის სამიზნე ორგანოების დაზიანების შეფასება (დიაბეტური 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რეტინოპათიის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 xml:space="preserve"> 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სკრინინგი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>)</w:t>
            </w:r>
          </w:p>
        </w:tc>
      </w:tr>
      <w:tr w:rsidR="006356D8" w:rsidRPr="006356D8" w14:paraId="307B4706" w14:textId="77777777" w:rsidTr="005D3B8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6B665C3E" w14:textId="77777777" w:rsidR="00FB493F" w:rsidRPr="006356D8" w:rsidRDefault="00FB493F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50EDB886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დიაბეტი</w:t>
            </w:r>
          </w:p>
        </w:tc>
        <w:tc>
          <w:tcPr>
            <w:tcW w:w="1701" w:type="dxa"/>
            <w:shd w:val="clear" w:color="auto" w:fill="auto"/>
          </w:tcPr>
          <w:p w14:paraId="2DC32429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პროცესის, კლინიკური ეფექტურობის გასაზომად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D8BD39C" w14:textId="5372E00C" w:rsidR="00FB493F" w:rsidRPr="006356D8" w:rsidRDefault="00FB493F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val="en-US" w:eastAsia="en-GB"/>
              </w:rPr>
              <w:t>1</w:t>
            </w:r>
            <w:r w:rsidR="00E841F1">
              <w:rPr>
                <w:rFonts w:eastAsia="Times New Roman" w:cs="Calibri"/>
                <w:lang w:eastAsia="en-GB"/>
              </w:rPr>
              <w:t>1</w:t>
            </w:r>
          </w:p>
        </w:tc>
        <w:tc>
          <w:tcPr>
            <w:tcW w:w="9355" w:type="dxa"/>
            <w:shd w:val="clear" w:color="auto" w:fill="auto"/>
          </w:tcPr>
          <w:p w14:paraId="1841D454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დიაბეტური ტერფის შეფასება</w:t>
            </w:r>
          </w:p>
        </w:tc>
      </w:tr>
      <w:tr w:rsidR="006356D8" w:rsidRPr="006356D8" w14:paraId="693A1E3E" w14:textId="77777777" w:rsidTr="005D3B8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046086FA" w14:textId="77777777" w:rsidR="00FB493F" w:rsidRPr="006356D8" w:rsidRDefault="00FB493F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0626D77A" w14:textId="56188A23" w:rsidR="00FB493F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დიაბეტი</w:t>
            </w:r>
          </w:p>
        </w:tc>
        <w:tc>
          <w:tcPr>
            <w:tcW w:w="1701" w:type="dxa"/>
            <w:shd w:val="clear" w:color="auto" w:fill="auto"/>
          </w:tcPr>
          <w:p w14:paraId="77B1EFBF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პროცესის, კლინიკური ეფექტურობის გასაზომად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DA837C3" w14:textId="1327D73E" w:rsidR="00FB493F" w:rsidRPr="006356D8" w:rsidRDefault="00FB493F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val="en-US" w:eastAsia="en-GB"/>
              </w:rPr>
              <w:t>1</w:t>
            </w:r>
            <w:r w:rsidR="00E841F1">
              <w:rPr>
                <w:rFonts w:eastAsia="Times New Roman" w:cs="Calibri"/>
                <w:lang w:eastAsia="en-GB"/>
              </w:rPr>
              <w:t>2</w:t>
            </w:r>
          </w:p>
        </w:tc>
        <w:tc>
          <w:tcPr>
            <w:tcW w:w="9355" w:type="dxa"/>
            <w:shd w:val="clear" w:color="auto" w:fill="auto"/>
          </w:tcPr>
          <w:p w14:paraId="75EA5993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ტიპი 2 დიაბეტის დროს თირკმლების დაზიანების შეფასება (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კრეატინინი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>/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eGFR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>)</w:t>
            </w:r>
          </w:p>
          <w:p w14:paraId="49700344" w14:textId="31456085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</w:p>
        </w:tc>
      </w:tr>
      <w:tr w:rsidR="006356D8" w:rsidRPr="006356D8" w14:paraId="3EA8E8A5" w14:textId="77777777" w:rsidTr="005D3B8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75A728DB" w14:textId="77777777" w:rsidR="00FB493F" w:rsidRPr="006356D8" w:rsidRDefault="00FB493F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7653E1B9" w14:textId="77777777" w:rsidR="00A42C0C" w:rsidRPr="006356D8" w:rsidRDefault="00A42C0C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დიაბეტი</w:t>
            </w:r>
          </w:p>
          <w:p w14:paraId="28D74ED3" w14:textId="372200E8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</w:p>
        </w:tc>
        <w:tc>
          <w:tcPr>
            <w:tcW w:w="1701" w:type="dxa"/>
            <w:shd w:val="clear" w:color="auto" w:fill="auto"/>
          </w:tcPr>
          <w:p w14:paraId="478679D0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 xml:space="preserve">პროცესის, კლინიკური </w:t>
            </w:r>
            <w:r w:rsidRPr="006356D8">
              <w:rPr>
                <w:rFonts w:eastAsia="Times New Roman" w:cs="Sylfaen"/>
                <w:lang w:eastAsia="en-GB"/>
              </w:rPr>
              <w:lastRenderedPageBreak/>
              <w:t>ეფექტურობის გასაზომად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AB3883A" w14:textId="3283438F" w:rsidR="00FB493F" w:rsidRPr="006356D8" w:rsidRDefault="00FB493F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val="en-US" w:eastAsia="en-GB"/>
              </w:rPr>
              <w:lastRenderedPageBreak/>
              <w:t>1</w:t>
            </w:r>
            <w:r w:rsidR="00E841F1">
              <w:rPr>
                <w:rFonts w:eastAsia="Times New Roman" w:cs="Calibri"/>
                <w:lang w:eastAsia="en-GB"/>
              </w:rPr>
              <w:t>3</w:t>
            </w:r>
          </w:p>
        </w:tc>
        <w:tc>
          <w:tcPr>
            <w:tcW w:w="9355" w:type="dxa"/>
            <w:shd w:val="clear" w:color="auto" w:fill="auto"/>
          </w:tcPr>
          <w:p w14:paraId="4BE2B7CE" w14:textId="0C194143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ტიპი 2 დიაბეტის დროს სამიზნე თირკმლების დაზიანების შეფასება (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მიკროალბუმინურიის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 xml:space="preserve"> ტესტი/UACR)</w:t>
            </w:r>
          </w:p>
          <w:p w14:paraId="147DF190" w14:textId="4E551EA9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</w:p>
        </w:tc>
      </w:tr>
      <w:tr w:rsidR="006356D8" w:rsidRPr="006356D8" w14:paraId="04ACA9F7" w14:textId="77777777" w:rsidTr="005D3B8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70F1D8C8" w14:textId="77777777" w:rsidR="00FB493F" w:rsidRPr="006356D8" w:rsidRDefault="00FB493F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09165E81" w14:textId="1337B666" w:rsidR="00FB493F" w:rsidRPr="006356D8" w:rsidRDefault="00A42C0C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proofErr w:type="spellStart"/>
            <w:r w:rsidRPr="006356D8">
              <w:rPr>
                <w:rFonts w:eastAsia="Times New Roman" w:cs="Calibri"/>
                <w:lang w:eastAsia="en-GB"/>
              </w:rPr>
              <w:t>ჰიპერტე</w:t>
            </w:r>
            <w:r w:rsidR="005479CD">
              <w:rPr>
                <w:rFonts w:eastAsia="Times New Roman" w:cs="Calibri"/>
                <w:lang w:eastAsia="en-GB"/>
              </w:rPr>
              <w:t>ნ</w:t>
            </w:r>
            <w:r w:rsidRPr="006356D8">
              <w:rPr>
                <w:rFonts w:eastAsia="Times New Roman" w:cs="Calibri"/>
                <w:lang w:eastAsia="en-GB"/>
              </w:rPr>
              <w:t>ზია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008BFE24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პროცესის, კლინიკური ეფექტურობის გასაზომად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B39794F" w14:textId="383A4D12" w:rsidR="00FB493F" w:rsidRPr="006356D8" w:rsidRDefault="00FB493F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val="en-US" w:eastAsia="en-GB"/>
              </w:rPr>
              <w:t>1</w:t>
            </w:r>
            <w:r w:rsidR="00E841F1">
              <w:rPr>
                <w:rFonts w:eastAsia="Times New Roman" w:cs="Calibri"/>
                <w:lang w:eastAsia="en-GB"/>
              </w:rPr>
              <w:t>4</w:t>
            </w:r>
          </w:p>
        </w:tc>
        <w:tc>
          <w:tcPr>
            <w:tcW w:w="9355" w:type="dxa"/>
            <w:shd w:val="clear" w:color="auto" w:fill="auto"/>
          </w:tcPr>
          <w:p w14:paraId="66E04448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proofErr w:type="spellStart"/>
            <w:r w:rsidRPr="006356D8">
              <w:rPr>
                <w:rFonts w:eastAsia="Times New Roman" w:cs="Sylfaen"/>
                <w:lang w:eastAsia="en-GB"/>
              </w:rPr>
              <w:t>ჰიპერტენზიის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 xml:space="preserve"> დროს თირკმლების დაზიანების შეფასება (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კრეატინინი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>/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eGFR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>)</w:t>
            </w:r>
          </w:p>
          <w:p w14:paraId="16EFB2D7" w14:textId="064108B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</w:p>
        </w:tc>
      </w:tr>
      <w:tr w:rsidR="006356D8" w:rsidRPr="006356D8" w14:paraId="33B1FB0C" w14:textId="77777777" w:rsidTr="005D3B8E">
        <w:trPr>
          <w:trHeight w:val="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6F01239F" w14:textId="77777777" w:rsidR="00FB493F" w:rsidRPr="006356D8" w:rsidRDefault="00FB493F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19C08220" w14:textId="5B5D3235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proofErr w:type="spellStart"/>
            <w:r w:rsidRPr="006356D8">
              <w:rPr>
                <w:rFonts w:eastAsia="Times New Roman" w:cs="Calibri"/>
                <w:lang w:eastAsia="en-GB"/>
              </w:rPr>
              <w:t>ჰიპერტე</w:t>
            </w:r>
            <w:r w:rsidR="005479CD">
              <w:rPr>
                <w:rFonts w:eastAsia="Times New Roman" w:cs="Calibri"/>
                <w:lang w:eastAsia="en-GB"/>
              </w:rPr>
              <w:t>ნ</w:t>
            </w:r>
            <w:r w:rsidRPr="006356D8">
              <w:rPr>
                <w:rFonts w:eastAsia="Times New Roman" w:cs="Calibri"/>
                <w:lang w:eastAsia="en-GB"/>
              </w:rPr>
              <w:t>ზია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61711494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პროცესის, კლინიკური ეფექტურობის გასაზომად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5F82E04" w14:textId="4254CDE1" w:rsidR="00FB493F" w:rsidRPr="006356D8" w:rsidRDefault="00FB493F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val="en-US" w:eastAsia="en-GB"/>
              </w:rPr>
              <w:t>1</w:t>
            </w:r>
            <w:r w:rsidR="00E841F1">
              <w:rPr>
                <w:rFonts w:eastAsia="Times New Roman" w:cs="Calibri"/>
                <w:lang w:eastAsia="en-GB"/>
              </w:rPr>
              <w:t>5</w:t>
            </w:r>
          </w:p>
        </w:tc>
        <w:tc>
          <w:tcPr>
            <w:tcW w:w="9355" w:type="dxa"/>
            <w:shd w:val="clear" w:color="auto" w:fill="auto"/>
          </w:tcPr>
          <w:p w14:paraId="6D0A0014" w14:textId="27191A96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proofErr w:type="spellStart"/>
            <w:r w:rsidRPr="006356D8">
              <w:rPr>
                <w:rFonts w:eastAsia="Times New Roman" w:cs="Sylfaen"/>
                <w:lang w:eastAsia="en-GB"/>
              </w:rPr>
              <w:t>ჰიპერტენზიის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 xml:space="preserve"> დროს თირკმლების დაზიანების შეფასება (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მიკროალბუმინურიის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 xml:space="preserve"> ტესტი/UACR)</w:t>
            </w:r>
          </w:p>
        </w:tc>
      </w:tr>
      <w:tr w:rsidR="006356D8" w:rsidRPr="006356D8" w14:paraId="5BD8B8D2" w14:textId="77777777" w:rsidTr="005D3B8E">
        <w:trPr>
          <w:trHeight w:val="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4DF8D7E5" w14:textId="77777777" w:rsidR="00FB493F" w:rsidRPr="006356D8" w:rsidRDefault="00FB493F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5E7F528B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proofErr w:type="spellStart"/>
            <w:r w:rsidRPr="006356D8">
              <w:rPr>
                <w:rFonts w:eastAsia="Times New Roman" w:cs="Calibri"/>
                <w:lang w:eastAsia="en-GB"/>
              </w:rPr>
              <w:t>ჰიპერტენზია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565D84E5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გამოსავლის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5631DA" w14:textId="7B985D7E" w:rsidR="00FB493F" w:rsidRPr="006356D8" w:rsidRDefault="00FB493F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1</w:t>
            </w:r>
            <w:r w:rsidR="00E841F1">
              <w:rPr>
                <w:rFonts w:eastAsia="Times New Roman" w:cs="Calibri"/>
                <w:lang w:eastAsia="en-GB"/>
              </w:rPr>
              <w:t>6</w:t>
            </w:r>
          </w:p>
        </w:tc>
        <w:tc>
          <w:tcPr>
            <w:tcW w:w="9355" w:type="dxa"/>
            <w:shd w:val="clear" w:color="auto" w:fill="auto"/>
          </w:tcPr>
          <w:p w14:paraId="2CC34FCA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 xml:space="preserve">3 თვეში კონტროლირებული არტერიული წნევა 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ჰიპერტენზიის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 xml:space="preserve"> მკურნალობის ქვეშ მყოფ პაციენტებში</w:t>
            </w:r>
          </w:p>
        </w:tc>
      </w:tr>
      <w:tr w:rsidR="006356D8" w:rsidRPr="006356D8" w14:paraId="63349C2D" w14:textId="77777777" w:rsidTr="005D3B8E">
        <w:trPr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24373239" w14:textId="77777777" w:rsidR="00FB493F" w:rsidRPr="006356D8" w:rsidRDefault="00FB493F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748E77B1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დიაბეტი</w:t>
            </w:r>
          </w:p>
        </w:tc>
        <w:tc>
          <w:tcPr>
            <w:tcW w:w="1701" w:type="dxa"/>
            <w:shd w:val="clear" w:color="auto" w:fill="auto"/>
          </w:tcPr>
          <w:p w14:paraId="4D8FAC38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გამოსავლის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436D557" w14:textId="7A4DA609" w:rsidR="00FB493F" w:rsidRPr="006356D8" w:rsidRDefault="00FB493F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1</w:t>
            </w:r>
            <w:r w:rsidR="00E841F1">
              <w:rPr>
                <w:rFonts w:eastAsia="Times New Roman" w:cs="Calibri"/>
                <w:lang w:eastAsia="en-GB"/>
              </w:rPr>
              <w:t>7</w:t>
            </w:r>
          </w:p>
        </w:tc>
        <w:tc>
          <w:tcPr>
            <w:tcW w:w="9355" w:type="dxa"/>
            <w:shd w:val="clear" w:color="auto" w:fill="auto"/>
          </w:tcPr>
          <w:p w14:paraId="26A3565B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 xml:space="preserve">კონტროლირებული 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გლიკემია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 xml:space="preserve"> დიაბეტით დაავადებულ პაციენტებში</w:t>
            </w:r>
          </w:p>
        </w:tc>
      </w:tr>
      <w:tr w:rsidR="006356D8" w:rsidRPr="006356D8" w14:paraId="6E1B703C" w14:textId="77777777" w:rsidTr="005D3B8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7458503F" w14:textId="77777777" w:rsidR="00FB493F" w:rsidRPr="006356D8" w:rsidRDefault="00FB493F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14:paraId="7B0B8249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დიაბეტი</w:t>
            </w:r>
          </w:p>
        </w:tc>
        <w:tc>
          <w:tcPr>
            <w:tcW w:w="1701" w:type="dxa"/>
            <w:shd w:val="clear" w:color="auto" w:fill="auto"/>
          </w:tcPr>
          <w:p w14:paraId="17BD6122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გამოსავლის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7A92378" w14:textId="03F51A44" w:rsidR="00FB493F" w:rsidRPr="006356D8" w:rsidRDefault="00FB493F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1</w:t>
            </w:r>
            <w:r w:rsidR="00E841F1">
              <w:rPr>
                <w:rFonts w:eastAsia="Times New Roman" w:cs="Calibri"/>
                <w:lang w:eastAsia="en-GB"/>
              </w:rPr>
              <w:t>8</w:t>
            </w:r>
          </w:p>
        </w:tc>
        <w:tc>
          <w:tcPr>
            <w:tcW w:w="9355" w:type="dxa"/>
            <w:shd w:val="clear" w:color="auto" w:fill="auto"/>
          </w:tcPr>
          <w:p w14:paraId="5EC2B15F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 xml:space="preserve">კონტროლირებული საერთო 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ქოლესტეროლი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 xml:space="preserve"> დიაბეტით დაავადებულ პაციენტებში</w:t>
            </w:r>
          </w:p>
        </w:tc>
      </w:tr>
      <w:tr w:rsidR="006356D8" w:rsidRPr="006356D8" w14:paraId="1B3AA42C" w14:textId="77777777" w:rsidTr="005D3B8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2DADAF20" w14:textId="77777777" w:rsidR="00FB493F" w:rsidRPr="006356D8" w:rsidRDefault="00FB493F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</w:tcPr>
          <w:p w14:paraId="7B2425E1" w14:textId="708652C4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დიაბეტი</w:t>
            </w:r>
          </w:p>
        </w:tc>
        <w:tc>
          <w:tcPr>
            <w:tcW w:w="1701" w:type="dxa"/>
          </w:tcPr>
          <w:p w14:paraId="62872892" w14:textId="02F9E08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გამოსავლის</w:t>
            </w:r>
          </w:p>
        </w:tc>
        <w:tc>
          <w:tcPr>
            <w:tcW w:w="709" w:type="dxa"/>
            <w:vAlign w:val="center"/>
          </w:tcPr>
          <w:p w14:paraId="1EBA791F" w14:textId="14BADF5A" w:rsidR="00FB493F" w:rsidRPr="006356D8" w:rsidRDefault="00E841F1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>
              <w:rPr>
                <w:rFonts w:eastAsia="Times New Roman" w:cs="Calibri"/>
                <w:lang w:val="en-US" w:eastAsia="en-GB"/>
              </w:rPr>
              <w:t>19</w:t>
            </w:r>
          </w:p>
        </w:tc>
        <w:tc>
          <w:tcPr>
            <w:tcW w:w="9355" w:type="dxa"/>
          </w:tcPr>
          <w:p w14:paraId="72C56EDA" w14:textId="663357AC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 xml:space="preserve">კონტროლირებული დაბალი სიმკვრივის </w:t>
            </w:r>
            <w:proofErr w:type="spellStart"/>
            <w:r w:rsidR="000A0108">
              <w:rPr>
                <w:rFonts w:eastAsia="Times New Roman" w:cs="Sylfaen"/>
                <w:lang w:eastAsia="en-GB"/>
              </w:rPr>
              <w:t>ქოლესტეროლი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 xml:space="preserve"> დიაბეტით დაავადებულ პაციენტებში</w:t>
            </w:r>
          </w:p>
        </w:tc>
      </w:tr>
      <w:tr w:rsidR="006356D8" w:rsidRPr="006356D8" w14:paraId="01FB8C19" w14:textId="77777777" w:rsidTr="005D3B8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33B8F2F1" w14:textId="77777777" w:rsidR="00FB493F" w:rsidRPr="006356D8" w:rsidRDefault="00FB493F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</w:tcPr>
          <w:p w14:paraId="594CE1EA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გიდ</w:t>
            </w:r>
          </w:p>
        </w:tc>
        <w:tc>
          <w:tcPr>
            <w:tcW w:w="1701" w:type="dxa"/>
          </w:tcPr>
          <w:p w14:paraId="57213D9F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გამოსავლის</w:t>
            </w:r>
          </w:p>
        </w:tc>
        <w:tc>
          <w:tcPr>
            <w:tcW w:w="709" w:type="dxa"/>
            <w:vAlign w:val="center"/>
          </w:tcPr>
          <w:p w14:paraId="63AD70EB" w14:textId="610D2046" w:rsidR="00FB493F" w:rsidRPr="006356D8" w:rsidRDefault="00FB493F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val="en-US" w:eastAsia="en-GB"/>
              </w:rPr>
              <w:t>2</w:t>
            </w:r>
            <w:r w:rsidR="00E841F1">
              <w:rPr>
                <w:rFonts w:eastAsia="Times New Roman" w:cs="Calibri"/>
                <w:lang w:eastAsia="en-GB"/>
              </w:rPr>
              <w:t>0</w:t>
            </w:r>
          </w:p>
        </w:tc>
        <w:tc>
          <w:tcPr>
            <w:tcW w:w="9355" w:type="dxa"/>
          </w:tcPr>
          <w:p w14:paraId="0FD1E2EE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 xml:space="preserve">კონტროლირებული საერთო 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ქოლესტეროლი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 xml:space="preserve"> გულის იშემიური დაავადების მქონე პაციენტებში</w:t>
            </w:r>
          </w:p>
        </w:tc>
      </w:tr>
      <w:tr w:rsidR="006356D8" w:rsidRPr="006356D8" w14:paraId="09136642" w14:textId="77777777" w:rsidTr="005D3B8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2A3A4113" w14:textId="77777777" w:rsidR="00FB493F" w:rsidRPr="006356D8" w:rsidRDefault="00FB493F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</w:tcPr>
          <w:p w14:paraId="17DF2CE8" w14:textId="7FD071B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გიდ</w:t>
            </w:r>
          </w:p>
        </w:tc>
        <w:tc>
          <w:tcPr>
            <w:tcW w:w="1701" w:type="dxa"/>
          </w:tcPr>
          <w:p w14:paraId="5C579031" w14:textId="472746A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გამოსავლის</w:t>
            </w:r>
          </w:p>
        </w:tc>
        <w:tc>
          <w:tcPr>
            <w:tcW w:w="709" w:type="dxa"/>
            <w:vAlign w:val="center"/>
          </w:tcPr>
          <w:p w14:paraId="07D6D67C" w14:textId="31A75FA6" w:rsidR="00FB493F" w:rsidRPr="006356D8" w:rsidRDefault="00FB493F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val="en-US" w:eastAsia="en-GB"/>
              </w:rPr>
              <w:t>2</w:t>
            </w:r>
            <w:r w:rsidR="00E841F1">
              <w:rPr>
                <w:rFonts w:eastAsia="Times New Roman" w:cs="Calibri"/>
                <w:lang w:eastAsia="en-GB"/>
              </w:rPr>
              <w:t>1</w:t>
            </w:r>
          </w:p>
        </w:tc>
        <w:tc>
          <w:tcPr>
            <w:tcW w:w="9355" w:type="dxa"/>
          </w:tcPr>
          <w:p w14:paraId="57EF0EB0" w14:textId="3140BE04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 xml:space="preserve">კონტროლირებული დაბალი სიმკვრივის 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ქოლე</w:t>
            </w:r>
            <w:r w:rsidR="00261ADE" w:rsidRPr="006356D8">
              <w:rPr>
                <w:rFonts w:eastAsia="Times New Roman" w:cs="Sylfaen"/>
                <w:lang w:eastAsia="en-GB"/>
              </w:rPr>
              <w:t>ს</w:t>
            </w:r>
            <w:r w:rsidRPr="006356D8">
              <w:rPr>
                <w:rFonts w:eastAsia="Times New Roman" w:cs="Sylfaen"/>
                <w:lang w:eastAsia="en-GB"/>
              </w:rPr>
              <w:t>ტეროლი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 xml:space="preserve"> გულის იშემიური პაციენტებში</w:t>
            </w:r>
          </w:p>
        </w:tc>
      </w:tr>
      <w:tr w:rsidR="006356D8" w:rsidRPr="006356D8" w14:paraId="508C23ED" w14:textId="77777777" w:rsidTr="005D3B8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4846B02B" w14:textId="77777777" w:rsidR="00FB493F" w:rsidRPr="006356D8" w:rsidRDefault="00FB493F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</w:tcPr>
          <w:p w14:paraId="5AE13251" w14:textId="7AA763CD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გიდ</w:t>
            </w:r>
          </w:p>
        </w:tc>
        <w:tc>
          <w:tcPr>
            <w:tcW w:w="1701" w:type="dxa"/>
          </w:tcPr>
          <w:p w14:paraId="170DE3DD" w14:textId="48CE4392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გამოსავლის</w:t>
            </w:r>
          </w:p>
        </w:tc>
        <w:tc>
          <w:tcPr>
            <w:tcW w:w="709" w:type="dxa"/>
            <w:vAlign w:val="center"/>
          </w:tcPr>
          <w:p w14:paraId="023BB105" w14:textId="0EDEC280" w:rsidR="00FB493F" w:rsidRPr="006356D8" w:rsidRDefault="00FB493F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val="en-US" w:eastAsia="en-GB"/>
              </w:rPr>
              <w:t>2</w:t>
            </w:r>
            <w:r w:rsidR="00E841F1">
              <w:rPr>
                <w:rFonts w:eastAsia="Times New Roman" w:cs="Calibri"/>
                <w:lang w:eastAsia="en-GB"/>
              </w:rPr>
              <w:t>2</w:t>
            </w:r>
          </w:p>
        </w:tc>
        <w:tc>
          <w:tcPr>
            <w:tcW w:w="9355" w:type="dxa"/>
          </w:tcPr>
          <w:p w14:paraId="4702C6A9" w14:textId="47981A96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 xml:space="preserve">კონტროლირებული საერთო 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ქოლე</w:t>
            </w:r>
            <w:r w:rsidR="00261ADE" w:rsidRPr="006356D8">
              <w:rPr>
                <w:rFonts w:eastAsia="Times New Roman" w:cs="Sylfaen"/>
                <w:lang w:eastAsia="en-GB"/>
              </w:rPr>
              <w:t>ს</w:t>
            </w:r>
            <w:r w:rsidRPr="006356D8">
              <w:rPr>
                <w:rFonts w:eastAsia="Times New Roman" w:cs="Sylfaen"/>
                <w:lang w:eastAsia="en-GB"/>
              </w:rPr>
              <w:t>ტეროლი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 xml:space="preserve"> CVD მაღალი რისკის </w:t>
            </w:r>
            <w:r w:rsidRPr="006356D8">
              <w:rPr>
                <w:rFonts w:eastAsia="Times New Roman" w:cs="Calibri"/>
                <w:lang w:eastAsia="en-GB"/>
              </w:rPr>
              <w:t xml:space="preserve"> </w:t>
            </w:r>
            <w:r w:rsidRPr="006356D8">
              <w:rPr>
                <w:rFonts w:eastAsia="Times New Roman" w:cs="Sylfaen"/>
                <w:lang w:eastAsia="en-GB"/>
              </w:rPr>
              <w:t>მქონე პაციენტებში</w:t>
            </w:r>
          </w:p>
        </w:tc>
      </w:tr>
      <w:tr w:rsidR="006356D8" w:rsidRPr="006356D8" w14:paraId="1D83DC79" w14:textId="77777777" w:rsidTr="005D3B8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2B4B2679" w14:textId="77777777" w:rsidR="00FB493F" w:rsidRPr="006356D8" w:rsidRDefault="00FB493F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</w:tcPr>
          <w:p w14:paraId="7D0FAE98" w14:textId="2998BD54" w:rsidR="00FB493F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CVD</w:t>
            </w:r>
          </w:p>
        </w:tc>
        <w:tc>
          <w:tcPr>
            <w:tcW w:w="1701" w:type="dxa"/>
          </w:tcPr>
          <w:p w14:paraId="5C9173CF" w14:textId="2C030CC9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გამოსავლის</w:t>
            </w:r>
          </w:p>
        </w:tc>
        <w:tc>
          <w:tcPr>
            <w:tcW w:w="709" w:type="dxa"/>
            <w:vAlign w:val="center"/>
          </w:tcPr>
          <w:p w14:paraId="5C1E2930" w14:textId="2B62F219" w:rsidR="00FB493F" w:rsidRPr="006356D8" w:rsidRDefault="00FB493F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val="en-US" w:eastAsia="en-GB"/>
              </w:rPr>
              <w:t>2</w:t>
            </w:r>
            <w:r w:rsidR="00E841F1">
              <w:rPr>
                <w:rFonts w:eastAsia="Times New Roman" w:cs="Calibri"/>
                <w:lang w:eastAsia="en-GB"/>
              </w:rPr>
              <w:t>3</w:t>
            </w:r>
          </w:p>
        </w:tc>
        <w:tc>
          <w:tcPr>
            <w:tcW w:w="9355" w:type="dxa"/>
          </w:tcPr>
          <w:p w14:paraId="0C1F0808" w14:textId="1D2B92CA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 xml:space="preserve">კონტროლირებული დაბალი სიმკვრივის 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ქოლე</w:t>
            </w:r>
            <w:r w:rsidR="00261ADE" w:rsidRPr="006356D8">
              <w:rPr>
                <w:rFonts w:eastAsia="Times New Roman" w:cs="Sylfaen"/>
                <w:lang w:eastAsia="en-GB"/>
              </w:rPr>
              <w:t>ს</w:t>
            </w:r>
            <w:r w:rsidRPr="006356D8">
              <w:rPr>
                <w:rFonts w:eastAsia="Times New Roman" w:cs="Sylfaen"/>
                <w:lang w:eastAsia="en-GB"/>
              </w:rPr>
              <w:t>ტეროლი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 xml:space="preserve"> CVD მაღალი რისკის პაციენტებში</w:t>
            </w:r>
          </w:p>
        </w:tc>
      </w:tr>
      <w:tr w:rsidR="006356D8" w:rsidRPr="006356D8" w14:paraId="74CDFE7B" w14:textId="77777777" w:rsidTr="005D3B8E">
        <w:trPr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66ADBEF5" w14:textId="77777777" w:rsidR="00FB493F" w:rsidRPr="006356D8" w:rsidRDefault="00FB493F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</w:tcPr>
          <w:p w14:paraId="3283B544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proofErr w:type="spellStart"/>
            <w:r w:rsidRPr="006356D8">
              <w:rPr>
                <w:rFonts w:eastAsia="Times New Roman" w:cs="Calibri"/>
                <w:lang w:eastAsia="en-GB"/>
              </w:rPr>
              <w:t>ჰიპერტენზია</w:t>
            </w:r>
            <w:proofErr w:type="spellEnd"/>
          </w:p>
        </w:tc>
        <w:tc>
          <w:tcPr>
            <w:tcW w:w="1701" w:type="dxa"/>
          </w:tcPr>
          <w:p w14:paraId="4C576414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შედეგის</w:t>
            </w:r>
          </w:p>
        </w:tc>
        <w:tc>
          <w:tcPr>
            <w:tcW w:w="709" w:type="dxa"/>
            <w:vAlign w:val="center"/>
          </w:tcPr>
          <w:p w14:paraId="598903DB" w14:textId="2A55546F" w:rsidR="00FB493F" w:rsidRPr="006356D8" w:rsidRDefault="00FB493F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val="en-US" w:eastAsia="en-GB"/>
              </w:rPr>
              <w:t>2</w:t>
            </w:r>
            <w:r w:rsidR="00E841F1">
              <w:rPr>
                <w:rFonts w:eastAsia="Times New Roman" w:cs="Calibri"/>
                <w:lang w:eastAsia="en-GB"/>
              </w:rPr>
              <w:t>4</w:t>
            </w:r>
          </w:p>
        </w:tc>
        <w:tc>
          <w:tcPr>
            <w:tcW w:w="9355" w:type="dxa"/>
          </w:tcPr>
          <w:p w14:paraId="7865CF48" w14:textId="77777777" w:rsidR="00FB493F" w:rsidRPr="006356D8" w:rsidRDefault="00FB493F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 xml:space="preserve">ქრონიკული 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ჰიპერტენზიის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 xml:space="preserve"> გამო დანიშნული მკურნალობა</w:t>
            </w:r>
          </w:p>
        </w:tc>
      </w:tr>
      <w:tr w:rsidR="006356D8" w:rsidRPr="006356D8" w14:paraId="285A9D1A" w14:textId="77777777" w:rsidTr="005D3B8E">
        <w:trPr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52566367" w14:textId="77777777" w:rsidR="00261ADE" w:rsidRPr="006356D8" w:rsidRDefault="00261ADE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</w:tcPr>
          <w:p w14:paraId="57305A8E" w14:textId="2B46BF83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val="en-US" w:eastAsia="en-GB"/>
              </w:rPr>
              <w:t>CVD</w:t>
            </w:r>
          </w:p>
        </w:tc>
        <w:tc>
          <w:tcPr>
            <w:tcW w:w="1701" w:type="dxa"/>
          </w:tcPr>
          <w:p w14:paraId="750EE841" w14:textId="542DDAC2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შედეგის</w:t>
            </w:r>
          </w:p>
        </w:tc>
        <w:tc>
          <w:tcPr>
            <w:tcW w:w="709" w:type="dxa"/>
            <w:vAlign w:val="center"/>
          </w:tcPr>
          <w:p w14:paraId="57F0EA51" w14:textId="5F3F26AC" w:rsidR="00261ADE" w:rsidRPr="006356D8" w:rsidRDefault="00A42C0C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val="en-US" w:eastAsia="en-GB"/>
              </w:rPr>
            </w:pPr>
            <w:r w:rsidRPr="006356D8">
              <w:rPr>
                <w:rFonts w:eastAsia="Times New Roman" w:cs="Calibri"/>
                <w:lang w:val="en-US" w:eastAsia="en-GB"/>
              </w:rPr>
              <w:t>2</w:t>
            </w:r>
            <w:r w:rsidR="00E841F1">
              <w:rPr>
                <w:rFonts w:eastAsia="Times New Roman" w:cs="Calibri"/>
                <w:lang w:val="en-US" w:eastAsia="en-GB"/>
              </w:rPr>
              <w:t>5</w:t>
            </w:r>
          </w:p>
        </w:tc>
        <w:tc>
          <w:tcPr>
            <w:tcW w:w="9355" w:type="dxa"/>
          </w:tcPr>
          <w:p w14:paraId="505A040F" w14:textId="49A72299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proofErr w:type="spellStart"/>
            <w:r w:rsidRPr="006356D8">
              <w:rPr>
                <w:rFonts w:eastAsia="Times New Roman" w:cs="Sylfaen"/>
                <w:lang w:eastAsia="en-GB"/>
              </w:rPr>
              <w:t>კარდიოვასკულარული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 xml:space="preserve"> დაავადების (CVD) რისკის შეფასება 40 და უფროსი ასაკის პაციენტებში</w:t>
            </w:r>
          </w:p>
        </w:tc>
      </w:tr>
      <w:tr w:rsidR="006356D8" w:rsidRPr="006356D8" w14:paraId="1EA7A5FC" w14:textId="77777777" w:rsidTr="005D3B8E">
        <w:trPr>
          <w:trHeight w:val="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1B89D4A0" w14:textId="77777777" w:rsidR="00261ADE" w:rsidRPr="006356D8" w:rsidRDefault="00261ADE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</w:tcPr>
          <w:p w14:paraId="11AEBCB1" w14:textId="5CEA36B0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გიდ</w:t>
            </w:r>
          </w:p>
        </w:tc>
        <w:tc>
          <w:tcPr>
            <w:tcW w:w="1701" w:type="dxa"/>
          </w:tcPr>
          <w:p w14:paraId="77899F79" w14:textId="2040DCB9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შედეგის</w:t>
            </w:r>
          </w:p>
        </w:tc>
        <w:tc>
          <w:tcPr>
            <w:tcW w:w="709" w:type="dxa"/>
            <w:vAlign w:val="center"/>
          </w:tcPr>
          <w:p w14:paraId="75B7E89A" w14:textId="07485029" w:rsidR="00261ADE" w:rsidRPr="006356D8" w:rsidRDefault="00261ADE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val="en-US"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2</w:t>
            </w:r>
            <w:r w:rsidR="00E841F1">
              <w:rPr>
                <w:rFonts w:eastAsia="Times New Roman" w:cs="Calibri"/>
                <w:lang w:eastAsia="en-GB"/>
              </w:rPr>
              <w:t>6</w:t>
            </w:r>
          </w:p>
        </w:tc>
        <w:tc>
          <w:tcPr>
            <w:tcW w:w="9355" w:type="dxa"/>
          </w:tcPr>
          <w:p w14:paraId="2B6361B2" w14:textId="56AC2FE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გიდ დაავადების/CVD მაღალი რისკის გამო დანიშნული მკურნალობა</w:t>
            </w:r>
          </w:p>
        </w:tc>
      </w:tr>
      <w:tr w:rsidR="006356D8" w:rsidRPr="006356D8" w14:paraId="61689352" w14:textId="77777777" w:rsidTr="005D3B8E">
        <w:trPr>
          <w:trHeight w:val="5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2A27C440" w14:textId="77777777" w:rsidR="00261ADE" w:rsidRPr="006356D8" w:rsidRDefault="00261ADE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</w:tcPr>
          <w:p w14:paraId="52A0A311" w14:textId="6AC0AE3C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ასთმა</w:t>
            </w:r>
          </w:p>
        </w:tc>
        <w:tc>
          <w:tcPr>
            <w:tcW w:w="1701" w:type="dxa"/>
          </w:tcPr>
          <w:p w14:paraId="4D93FBE2" w14:textId="6E207D84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შედეგის</w:t>
            </w:r>
          </w:p>
        </w:tc>
        <w:tc>
          <w:tcPr>
            <w:tcW w:w="709" w:type="dxa"/>
            <w:vAlign w:val="center"/>
          </w:tcPr>
          <w:p w14:paraId="5B50A083" w14:textId="055C9F90" w:rsidR="00261ADE" w:rsidRPr="006356D8" w:rsidRDefault="00261ADE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2</w:t>
            </w:r>
            <w:r w:rsidR="00E841F1">
              <w:rPr>
                <w:rFonts w:eastAsia="Times New Roman" w:cs="Calibri"/>
                <w:lang w:eastAsia="en-GB"/>
              </w:rPr>
              <w:t>7</w:t>
            </w:r>
          </w:p>
        </w:tc>
        <w:tc>
          <w:tcPr>
            <w:tcW w:w="9355" w:type="dxa"/>
          </w:tcPr>
          <w:p w14:paraId="3F2AA0D3" w14:textId="2637D3C6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highlight w:val="yellow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ასთმის პრევენციული მკურნალობა</w:t>
            </w:r>
          </w:p>
        </w:tc>
      </w:tr>
      <w:tr w:rsidR="006356D8" w:rsidRPr="006356D8" w14:paraId="0A9EF23A" w14:textId="77777777" w:rsidTr="005D3B8E">
        <w:trPr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7C68ABAA" w14:textId="77777777" w:rsidR="00A42C0C" w:rsidRPr="006356D8" w:rsidRDefault="00A42C0C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</w:tcPr>
          <w:p w14:paraId="568E8FD1" w14:textId="6D76DA82" w:rsidR="00A42C0C" w:rsidRPr="006356D8" w:rsidRDefault="00A42C0C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proofErr w:type="spellStart"/>
            <w:r w:rsidRPr="006356D8">
              <w:rPr>
                <w:rFonts w:eastAsia="Times New Roman" w:cs="Calibri"/>
                <w:lang w:eastAsia="en-GB"/>
              </w:rPr>
              <w:t>ფქოდ</w:t>
            </w:r>
            <w:proofErr w:type="spellEnd"/>
          </w:p>
        </w:tc>
        <w:tc>
          <w:tcPr>
            <w:tcW w:w="1701" w:type="dxa"/>
          </w:tcPr>
          <w:p w14:paraId="72B6AD3B" w14:textId="6F7C14AE" w:rsidR="00A42C0C" w:rsidRPr="006356D8" w:rsidRDefault="00A42C0C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შედეგის</w:t>
            </w:r>
          </w:p>
        </w:tc>
        <w:tc>
          <w:tcPr>
            <w:tcW w:w="709" w:type="dxa"/>
            <w:vAlign w:val="center"/>
          </w:tcPr>
          <w:p w14:paraId="2EAFD6CC" w14:textId="57819AA3" w:rsidR="00A42C0C" w:rsidRPr="006356D8" w:rsidRDefault="00A42C0C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2</w:t>
            </w:r>
            <w:r w:rsidR="00E841F1">
              <w:rPr>
                <w:rFonts w:eastAsia="Times New Roman" w:cs="Calibri"/>
                <w:lang w:eastAsia="en-GB"/>
              </w:rPr>
              <w:t>8</w:t>
            </w:r>
          </w:p>
        </w:tc>
        <w:tc>
          <w:tcPr>
            <w:tcW w:w="9355" w:type="dxa"/>
          </w:tcPr>
          <w:p w14:paraId="2AD00D67" w14:textId="25C49BE1" w:rsidR="00A42C0C" w:rsidRPr="006356D8" w:rsidRDefault="00A42C0C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highlight w:val="yellow"/>
                <w:lang w:eastAsia="en-GB"/>
              </w:rPr>
            </w:pPr>
            <w:proofErr w:type="spellStart"/>
            <w:r w:rsidRPr="006356D8">
              <w:rPr>
                <w:rFonts w:eastAsia="Times New Roman" w:cs="Sylfaen"/>
                <w:lang w:eastAsia="en-GB"/>
              </w:rPr>
              <w:t>ფქოდ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>-ის პრევენციული მკურნალობა</w:t>
            </w:r>
          </w:p>
        </w:tc>
      </w:tr>
      <w:tr w:rsidR="006356D8" w:rsidRPr="006356D8" w14:paraId="3A9A72E0" w14:textId="77777777" w:rsidTr="005D3B8E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 w:val="restart"/>
            <w:textDirection w:val="btLr"/>
          </w:tcPr>
          <w:p w14:paraId="6365D242" w14:textId="77777777" w:rsidR="00261ADE" w:rsidRPr="006356D8" w:rsidRDefault="00261ADE" w:rsidP="006356D8">
            <w:pPr>
              <w:spacing w:before="120" w:after="0" w:line="240" w:lineRule="auto"/>
              <w:ind w:left="113" w:right="113"/>
              <w:jc w:val="left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ბავშვთა ჯანმრთელობასა და განვითარებაზე ზედამხედველობა</w:t>
            </w:r>
          </w:p>
        </w:tc>
        <w:tc>
          <w:tcPr>
            <w:tcW w:w="1843" w:type="dxa"/>
            <w:vMerge w:val="restart"/>
          </w:tcPr>
          <w:p w14:paraId="5440075D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Cs/>
                <w:lang w:eastAsia="en-GB"/>
              </w:rPr>
            </w:pPr>
          </w:p>
          <w:p w14:paraId="37676F60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Cs/>
                <w:lang w:eastAsia="en-GB"/>
              </w:rPr>
            </w:pPr>
          </w:p>
          <w:p w14:paraId="162881A1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Cs/>
                <w:lang w:eastAsia="en-GB"/>
              </w:rPr>
            </w:pPr>
          </w:p>
          <w:p w14:paraId="2B01C978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Cs/>
                <w:lang w:eastAsia="en-GB"/>
              </w:rPr>
            </w:pPr>
            <w:r w:rsidRPr="006356D8">
              <w:rPr>
                <w:rFonts w:eastAsia="Times New Roman" w:cs="Calibri"/>
                <w:bCs/>
                <w:lang w:eastAsia="en-GB"/>
              </w:rPr>
              <w:t>ზედამხედველობა</w:t>
            </w:r>
          </w:p>
        </w:tc>
        <w:tc>
          <w:tcPr>
            <w:tcW w:w="1701" w:type="dxa"/>
            <w:shd w:val="clear" w:color="auto" w:fill="auto"/>
          </w:tcPr>
          <w:p w14:paraId="11091C0F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პროცესის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BC4304" w14:textId="7BFFB580" w:rsidR="00261ADE" w:rsidRPr="006356D8" w:rsidRDefault="00E841F1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>
              <w:rPr>
                <w:rFonts w:eastAsia="Times New Roman" w:cs="Calibri"/>
                <w:lang w:eastAsia="en-GB"/>
              </w:rPr>
              <w:t>29</w:t>
            </w:r>
          </w:p>
        </w:tc>
        <w:tc>
          <w:tcPr>
            <w:tcW w:w="9355" w:type="dxa"/>
            <w:shd w:val="clear" w:color="auto" w:fill="auto"/>
          </w:tcPr>
          <w:p w14:paraId="6563A414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ჩვილ ბავშვთა ჯანმრთელობასა და განვითარებაზე ზედამხედველობა</w:t>
            </w:r>
          </w:p>
        </w:tc>
      </w:tr>
      <w:tr w:rsidR="006356D8" w:rsidRPr="006356D8" w14:paraId="232D2035" w14:textId="77777777" w:rsidTr="005D3B8E">
        <w:trPr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5235CC86" w14:textId="77777777" w:rsidR="00261ADE" w:rsidRPr="006356D8" w:rsidRDefault="00261ADE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vMerge/>
          </w:tcPr>
          <w:p w14:paraId="74F3FFA7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</w:p>
        </w:tc>
        <w:tc>
          <w:tcPr>
            <w:tcW w:w="1701" w:type="dxa"/>
            <w:shd w:val="clear" w:color="auto" w:fill="auto"/>
          </w:tcPr>
          <w:p w14:paraId="518E063A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პროცესის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18D5AC" w14:textId="6AEC3365" w:rsidR="00261ADE" w:rsidRPr="006356D8" w:rsidRDefault="00261ADE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3</w:t>
            </w:r>
            <w:r w:rsidR="00E841F1">
              <w:rPr>
                <w:rFonts w:eastAsia="Times New Roman" w:cs="Calibri"/>
                <w:lang w:eastAsia="en-GB"/>
              </w:rPr>
              <w:t>0</w:t>
            </w:r>
          </w:p>
        </w:tc>
        <w:tc>
          <w:tcPr>
            <w:tcW w:w="9355" w:type="dxa"/>
            <w:shd w:val="clear" w:color="auto" w:fill="auto"/>
          </w:tcPr>
          <w:p w14:paraId="47C9C8E7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ახალშობილთა პატრონაჟი ბინაზე</w:t>
            </w:r>
          </w:p>
        </w:tc>
      </w:tr>
      <w:tr w:rsidR="006356D8" w:rsidRPr="006356D8" w14:paraId="557A4A1C" w14:textId="77777777" w:rsidTr="005D3B8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5DFED141" w14:textId="77777777" w:rsidR="00261ADE" w:rsidRPr="006356D8" w:rsidRDefault="00261ADE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vMerge/>
          </w:tcPr>
          <w:p w14:paraId="13AE8D72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lang w:eastAsia="en-GB"/>
              </w:rPr>
            </w:pPr>
          </w:p>
        </w:tc>
        <w:tc>
          <w:tcPr>
            <w:tcW w:w="1701" w:type="dxa"/>
          </w:tcPr>
          <w:p w14:paraId="6931D2D4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პროცესის</w:t>
            </w:r>
          </w:p>
        </w:tc>
        <w:tc>
          <w:tcPr>
            <w:tcW w:w="709" w:type="dxa"/>
            <w:vAlign w:val="center"/>
          </w:tcPr>
          <w:p w14:paraId="2CFE11AF" w14:textId="3BE56C41" w:rsidR="00261ADE" w:rsidRPr="006356D8" w:rsidRDefault="00261ADE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val="en-US" w:eastAsia="en-GB"/>
              </w:rPr>
              <w:t>3</w:t>
            </w:r>
            <w:r w:rsidR="00E841F1">
              <w:rPr>
                <w:rFonts w:eastAsia="Times New Roman" w:cs="Calibri"/>
                <w:lang w:eastAsia="en-GB"/>
              </w:rPr>
              <w:t>1</w:t>
            </w:r>
          </w:p>
        </w:tc>
        <w:tc>
          <w:tcPr>
            <w:tcW w:w="9355" w:type="dxa"/>
          </w:tcPr>
          <w:p w14:paraId="29F9212B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 xml:space="preserve">ჩვილ ბავშვთა სრული მოცვა </w:t>
            </w:r>
            <w:r w:rsidRPr="006356D8">
              <w:rPr>
                <w:rFonts w:eastAsia="Times New Roman" w:cs="Calibri"/>
                <w:lang w:eastAsia="en-GB"/>
              </w:rPr>
              <w:t xml:space="preserve">პრევენციული ვიზიტებით </w:t>
            </w:r>
            <w:proofErr w:type="spellStart"/>
            <w:r w:rsidRPr="006356D8">
              <w:rPr>
                <w:rFonts w:eastAsia="Times New Roman" w:cs="Calibri"/>
                <w:lang w:eastAsia="en-GB"/>
              </w:rPr>
              <w:t>პჯდ</w:t>
            </w:r>
            <w:proofErr w:type="spellEnd"/>
            <w:r w:rsidRPr="006356D8">
              <w:rPr>
                <w:rFonts w:eastAsia="Times New Roman" w:cs="Calibri"/>
                <w:lang w:eastAsia="en-GB"/>
              </w:rPr>
              <w:t xml:space="preserve"> სისტემის მიერ</w:t>
            </w:r>
          </w:p>
        </w:tc>
      </w:tr>
      <w:tr w:rsidR="006356D8" w:rsidRPr="006356D8" w14:paraId="7017A62F" w14:textId="77777777" w:rsidTr="005D3B8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4F79E5B1" w14:textId="77777777" w:rsidR="00261ADE" w:rsidRPr="006356D8" w:rsidRDefault="00261ADE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vMerge/>
          </w:tcPr>
          <w:p w14:paraId="126DA91F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</w:p>
        </w:tc>
        <w:tc>
          <w:tcPr>
            <w:tcW w:w="1701" w:type="dxa"/>
          </w:tcPr>
          <w:p w14:paraId="07E37328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პროცესის</w:t>
            </w:r>
          </w:p>
        </w:tc>
        <w:tc>
          <w:tcPr>
            <w:tcW w:w="709" w:type="dxa"/>
            <w:vAlign w:val="center"/>
          </w:tcPr>
          <w:p w14:paraId="20BA7F2B" w14:textId="57F90E69" w:rsidR="00261ADE" w:rsidRPr="006356D8" w:rsidRDefault="00261ADE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val="en-US" w:eastAsia="en-GB"/>
              </w:rPr>
              <w:t>3</w:t>
            </w:r>
            <w:r w:rsidR="00E841F1">
              <w:rPr>
                <w:rFonts w:eastAsia="Times New Roman" w:cs="Calibri"/>
                <w:lang w:eastAsia="en-GB"/>
              </w:rPr>
              <w:t>2</w:t>
            </w:r>
          </w:p>
        </w:tc>
        <w:tc>
          <w:tcPr>
            <w:tcW w:w="9355" w:type="dxa"/>
          </w:tcPr>
          <w:p w14:paraId="2DAD6565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 xml:space="preserve">1-დან 2 წლამდე ბავშვთა სრული მოცვა </w:t>
            </w:r>
            <w:r w:rsidRPr="006356D8">
              <w:rPr>
                <w:rFonts w:eastAsia="Times New Roman" w:cs="Calibri"/>
                <w:lang w:eastAsia="en-GB"/>
              </w:rPr>
              <w:t>პრევენციული ვიზიტებით</w:t>
            </w:r>
          </w:p>
        </w:tc>
      </w:tr>
      <w:tr w:rsidR="006356D8" w:rsidRPr="006356D8" w14:paraId="6011AEC4" w14:textId="77777777" w:rsidTr="005D3B8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564F58C0" w14:textId="77777777" w:rsidR="00261ADE" w:rsidRPr="006356D8" w:rsidRDefault="00261ADE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vMerge/>
          </w:tcPr>
          <w:p w14:paraId="3D0CAB5F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</w:p>
        </w:tc>
        <w:tc>
          <w:tcPr>
            <w:tcW w:w="1701" w:type="dxa"/>
          </w:tcPr>
          <w:p w14:paraId="55E84091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პროცესის</w:t>
            </w:r>
          </w:p>
        </w:tc>
        <w:tc>
          <w:tcPr>
            <w:tcW w:w="709" w:type="dxa"/>
            <w:vAlign w:val="center"/>
          </w:tcPr>
          <w:p w14:paraId="44D7EB64" w14:textId="79791357" w:rsidR="00261ADE" w:rsidRPr="006356D8" w:rsidRDefault="00261ADE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val="en-US" w:eastAsia="en-GB"/>
              </w:rPr>
              <w:t>3</w:t>
            </w:r>
            <w:r w:rsidR="00E841F1">
              <w:rPr>
                <w:rFonts w:eastAsia="Times New Roman" w:cs="Calibri"/>
                <w:lang w:eastAsia="en-GB"/>
              </w:rPr>
              <w:t>3</w:t>
            </w:r>
          </w:p>
        </w:tc>
        <w:tc>
          <w:tcPr>
            <w:tcW w:w="9355" w:type="dxa"/>
          </w:tcPr>
          <w:p w14:paraId="2A6E2F19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 xml:space="preserve">2-დან 3-წლამდე ბავშვთა სრული მოცვა </w:t>
            </w:r>
            <w:r w:rsidRPr="006356D8">
              <w:rPr>
                <w:rFonts w:eastAsia="Times New Roman" w:cs="Calibri"/>
                <w:lang w:eastAsia="en-GB"/>
              </w:rPr>
              <w:t>პრევენციული ვიზიტებით</w:t>
            </w:r>
          </w:p>
        </w:tc>
      </w:tr>
      <w:tr w:rsidR="006356D8" w:rsidRPr="006356D8" w14:paraId="390D202A" w14:textId="77777777" w:rsidTr="005D3B8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216A897E" w14:textId="77777777" w:rsidR="00261ADE" w:rsidRPr="006356D8" w:rsidRDefault="00261ADE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vMerge/>
          </w:tcPr>
          <w:p w14:paraId="0F297D05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</w:p>
        </w:tc>
        <w:tc>
          <w:tcPr>
            <w:tcW w:w="1701" w:type="dxa"/>
          </w:tcPr>
          <w:p w14:paraId="3A4D9664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პროცესის</w:t>
            </w:r>
          </w:p>
        </w:tc>
        <w:tc>
          <w:tcPr>
            <w:tcW w:w="709" w:type="dxa"/>
            <w:vAlign w:val="center"/>
          </w:tcPr>
          <w:p w14:paraId="0FED182A" w14:textId="37641B4F" w:rsidR="00261ADE" w:rsidRPr="006356D8" w:rsidRDefault="00261ADE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val="en-US" w:eastAsia="en-GB"/>
              </w:rPr>
              <w:t>3</w:t>
            </w:r>
            <w:r w:rsidR="00E841F1">
              <w:rPr>
                <w:rFonts w:eastAsia="Times New Roman" w:cs="Calibri"/>
                <w:lang w:eastAsia="en-GB"/>
              </w:rPr>
              <w:t>4</w:t>
            </w:r>
          </w:p>
        </w:tc>
        <w:tc>
          <w:tcPr>
            <w:tcW w:w="9355" w:type="dxa"/>
          </w:tcPr>
          <w:p w14:paraId="15C4C6D9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 xml:space="preserve">3-დან 4 წლამდე ბავშვთა სრული მოცვა </w:t>
            </w:r>
            <w:r w:rsidRPr="006356D8">
              <w:rPr>
                <w:rFonts w:eastAsia="Times New Roman" w:cs="Calibri"/>
                <w:lang w:eastAsia="en-GB"/>
              </w:rPr>
              <w:t>პრევენციული ვიზიტებით</w:t>
            </w:r>
          </w:p>
        </w:tc>
      </w:tr>
      <w:tr w:rsidR="006356D8" w:rsidRPr="006356D8" w14:paraId="7FA438E3" w14:textId="77777777" w:rsidTr="005D3B8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4797C0FA" w14:textId="77777777" w:rsidR="00261ADE" w:rsidRPr="006356D8" w:rsidRDefault="00261ADE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vMerge/>
          </w:tcPr>
          <w:p w14:paraId="23D308DE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</w:p>
        </w:tc>
        <w:tc>
          <w:tcPr>
            <w:tcW w:w="1701" w:type="dxa"/>
          </w:tcPr>
          <w:p w14:paraId="385561F0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პროცესის</w:t>
            </w:r>
          </w:p>
        </w:tc>
        <w:tc>
          <w:tcPr>
            <w:tcW w:w="709" w:type="dxa"/>
            <w:vAlign w:val="center"/>
          </w:tcPr>
          <w:p w14:paraId="5BA4492A" w14:textId="05C9387A" w:rsidR="00261ADE" w:rsidRPr="006356D8" w:rsidRDefault="00261ADE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3</w:t>
            </w:r>
            <w:r w:rsidR="00E841F1">
              <w:rPr>
                <w:rFonts w:eastAsia="Times New Roman" w:cs="Calibri"/>
                <w:lang w:eastAsia="en-GB"/>
              </w:rPr>
              <w:t>5</w:t>
            </w:r>
          </w:p>
        </w:tc>
        <w:tc>
          <w:tcPr>
            <w:tcW w:w="9355" w:type="dxa"/>
          </w:tcPr>
          <w:p w14:paraId="4897B915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 xml:space="preserve">4-დან 5 წლამდე ბავშვთა სრული მოცვა </w:t>
            </w:r>
            <w:r w:rsidRPr="006356D8">
              <w:rPr>
                <w:rFonts w:eastAsia="Times New Roman" w:cs="Calibri"/>
                <w:lang w:eastAsia="en-GB"/>
              </w:rPr>
              <w:t>პრევენციული</w:t>
            </w:r>
          </w:p>
        </w:tc>
      </w:tr>
      <w:tr w:rsidR="006356D8" w:rsidRPr="006356D8" w14:paraId="1ECD99FE" w14:textId="77777777" w:rsidTr="005D3B8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5A2749A2" w14:textId="77777777" w:rsidR="00261ADE" w:rsidRPr="006356D8" w:rsidRDefault="00261ADE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vMerge/>
          </w:tcPr>
          <w:p w14:paraId="3040BEB8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</w:p>
        </w:tc>
        <w:tc>
          <w:tcPr>
            <w:tcW w:w="1701" w:type="dxa"/>
          </w:tcPr>
          <w:p w14:paraId="66D77953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პროცესის</w:t>
            </w:r>
          </w:p>
        </w:tc>
        <w:tc>
          <w:tcPr>
            <w:tcW w:w="709" w:type="dxa"/>
            <w:vAlign w:val="center"/>
          </w:tcPr>
          <w:p w14:paraId="543EC872" w14:textId="65571728" w:rsidR="00261ADE" w:rsidRPr="006356D8" w:rsidRDefault="00261ADE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3</w:t>
            </w:r>
            <w:r w:rsidR="00E841F1">
              <w:rPr>
                <w:rFonts w:eastAsia="Times New Roman" w:cs="Calibri"/>
                <w:lang w:eastAsia="en-GB"/>
              </w:rPr>
              <w:t>6</w:t>
            </w:r>
          </w:p>
        </w:tc>
        <w:tc>
          <w:tcPr>
            <w:tcW w:w="9355" w:type="dxa"/>
          </w:tcPr>
          <w:p w14:paraId="079CA0B3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 xml:space="preserve">5-დან 6 წლამდე ბავშვთა სრული მოცვა </w:t>
            </w:r>
            <w:r w:rsidRPr="006356D8">
              <w:rPr>
                <w:rFonts w:eastAsia="Times New Roman" w:cs="Calibri"/>
                <w:lang w:eastAsia="en-GB"/>
              </w:rPr>
              <w:t>პრევენციული ვიზიტებით და სასკოლო მზაობის შეფასება</w:t>
            </w:r>
          </w:p>
        </w:tc>
      </w:tr>
      <w:tr w:rsidR="006356D8" w:rsidRPr="006356D8" w14:paraId="6F1C6B50" w14:textId="77777777" w:rsidTr="005D3B8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50996A22" w14:textId="77777777" w:rsidR="00261ADE" w:rsidRPr="006356D8" w:rsidRDefault="00261ADE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vMerge/>
          </w:tcPr>
          <w:p w14:paraId="2889716C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</w:p>
        </w:tc>
        <w:tc>
          <w:tcPr>
            <w:tcW w:w="1701" w:type="dxa"/>
          </w:tcPr>
          <w:p w14:paraId="59EAA664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პროცესის</w:t>
            </w:r>
          </w:p>
        </w:tc>
        <w:tc>
          <w:tcPr>
            <w:tcW w:w="709" w:type="dxa"/>
            <w:vAlign w:val="center"/>
          </w:tcPr>
          <w:p w14:paraId="47ACC10C" w14:textId="1F0095F1" w:rsidR="00261ADE" w:rsidRPr="006356D8" w:rsidRDefault="00261ADE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3</w:t>
            </w:r>
            <w:r w:rsidR="00E841F1">
              <w:rPr>
                <w:rFonts w:eastAsia="Times New Roman" w:cs="Calibri"/>
                <w:lang w:eastAsia="en-GB"/>
              </w:rPr>
              <w:t>7</w:t>
            </w:r>
          </w:p>
        </w:tc>
        <w:tc>
          <w:tcPr>
            <w:tcW w:w="9355" w:type="dxa"/>
          </w:tcPr>
          <w:p w14:paraId="4976D6D4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 xml:space="preserve">3-წლამდე ბავშვთა სრული მოცვა სმენის, მხედველობის, და ბარძაყის თანდაყოლილი 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დისპლაზიის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 xml:space="preserve"> 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სკრინინგით</w:t>
            </w:r>
            <w:proofErr w:type="spellEnd"/>
          </w:p>
        </w:tc>
      </w:tr>
      <w:tr w:rsidR="006356D8" w:rsidRPr="006356D8" w14:paraId="66C7417E" w14:textId="77777777" w:rsidTr="005D3B8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304DD646" w14:textId="77777777" w:rsidR="00261ADE" w:rsidRPr="006356D8" w:rsidRDefault="00261ADE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vMerge/>
          </w:tcPr>
          <w:p w14:paraId="3521F8CC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</w:p>
        </w:tc>
        <w:tc>
          <w:tcPr>
            <w:tcW w:w="1701" w:type="dxa"/>
          </w:tcPr>
          <w:p w14:paraId="3E410299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პროცესის</w:t>
            </w:r>
          </w:p>
        </w:tc>
        <w:tc>
          <w:tcPr>
            <w:tcW w:w="709" w:type="dxa"/>
            <w:vAlign w:val="center"/>
          </w:tcPr>
          <w:p w14:paraId="24199EAF" w14:textId="5937B154" w:rsidR="00261ADE" w:rsidRPr="006356D8" w:rsidRDefault="00A42C0C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3</w:t>
            </w:r>
            <w:r w:rsidR="00E841F1">
              <w:rPr>
                <w:rFonts w:eastAsia="Times New Roman" w:cs="Calibri"/>
                <w:lang w:eastAsia="en-GB"/>
              </w:rPr>
              <w:t>8</w:t>
            </w:r>
          </w:p>
        </w:tc>
        <w:tc>
          <w:tcPr>
            <w:tcW w:w="9355" w:type="dxa"/>
          </w:tcPr>
          <w:p w14:paraId="05E96B55" w14:textId="027C5B22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 xml:space="preserve">3-წლამდე ბავშვთა სრული მოცვა განვითარების და 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აუტიზ</w:t>
            </w:r>
            <w:r w:rsidR="00EE29C6">
              <w:rPr>
                <w:rFonts w:eastAsia="Times New Roman" w:cs="Sylfaen"/>
                <w:lang w:eastAsia="en-GB"/>
              </w:rPr>
              <w:t>მ</w:t>
            </w:r>
            <w:r w:rsidRPr="006356D8">
              <w:rPr>
                <w:rFonts w:eastAsia="Times New Roman" w:cs="Sylfaen"/>
                <w:lang w:eastAsia="en-GB"/>
              </w:rPr>
              <w:t>ის</w:t>
            </w:r>
            <w:proofErr w:type="spellEnd"/>
            <w:r w:rsidRPr="006356D8">
              <w:rPr>
                <w:rFonts w:eastAsia="Times New Roman" w:cs="Sylfaen"/>
                <w:lang w:eastAsia="en-GB"/>
              </w:rPr>
              <w:t xml:space="preserve"> </w:t>
            </w:r>
            <w:proofErr w:type="spellStart"/>
            <w:r w:rsidRPr="006356D8">
              <w:rPr>
                <w:rFonts w:eastAsia="Times New Roman" w:cs="Sylfaen"/>
                <w:lang w:eastAsia="en-GB"/>
              </w:rPr>
              <w:t>სკრინინგით</w:t>
            </w:r>
            <w:proofErr w:type="spellEnd"/>
          </w:p>
        </w:tc>
      </w:tr>
      <w:tr w:rsidR="006356D8" w:rsidRPr="006356D8" w14:paraId="437A3B6D" w14:textId="77777777" w:rsidTr="005D3B8E">
        <w:trPr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05285FA9" w14:textId="77777777" w:rsidR="00261ADE" w:rsidRPr="006356D8" w:rsidRDefault="00261ADE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vMerge w:val="restart"/>
          </w:tcPr>
          <w:p w14:paraId="78EA848C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იმუნიზაცია</w:t>
            </w:r>
          </w:p>
        </w:tc>
        <w:tc>
          <w:tcPr>
            <w:tcW w:w="1701" w:type="dxa"/>
          </w:tcPr>
          <w:p w14:paraId="109E11CE" w14:textId="5374594B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შედეგის</w:t>
            </w:r>
          </w:p>
        </w:tc>
        <w:tc>
          <w:tcPr>
            <w:tcW w:w="709" w:type="dxa"/>
            <w:vAlign w:val="center"/>
          </w:tcPr>
          <w:p w14:paraId="60524572" w14:textId="151129AF" w:rsidR="00261ADE" w:rsidRPr="006356D8" w:rsidRDefault="00E841F1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>
              <w:rPr>
                <w:rFonts w:eastAsia="Times New Roman" w:cs="Calibri"/>
                <w:lang w:eastAsia="en-GB"/>
              </w:rPr>
              <w:t>39</w:t>
            </w:r>
          </w:p>
        </w:tc>
        <w:tc>
          <w:tcPr>
            <w:tcW w:w="9355" w:type="dxa"/>
          </w:tcPr>
          <w:p w14:paraId="4F3F1E4C" w14:textId="0F46636B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 w:rsidRPr="006356D8">
              <w:rPr>
                <w:rFonts w:eastAsia="Times New Roman" w:cs="Sylfaen"/>
                <w:lang w:eastAsia="en-GB"/>
              </w:rPr>
              <w:t>იმუნიზაციის მოცვის მაჩვენებლები</w:t>
            </w:r>
          </w:p>
        </w:tc>
      </w:tr>
      <w:tr w:rsidR="006356D8" w:rsidRPr="006356D8" w14:paraId="32C86CBD" w14:textId="77777777" w:rsidTr="005D3B8E">
        <w:trPr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6351459C" w14:textId="77777777" w:rsidR="00261ADE" w:rsidRPr="006356D8" w:rsidRDefault="00261ADE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vMerge/>
          </w:tcPr>
          <w:p w14:paraId="3FE8558D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</w:p>
        </w:tc>
        <w:tc>
          <w:tcPr>
            <w:tcW w:w="1701" w:type="dxa"/>
          </w:tcPr>
          <w:p w14:paraId="218FFB15" w14:textId="083EBD1E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შედეგის</w:t>
            </w:r>
          </w:p>
        </w:tc>
        <w:tc>
          <w:tcPr>
            <w:tcW w:w="709" w:type="dxa"/>
            <w:vAlign w:val="center"/>
          </w:tcPr>
          <w:p w14:paraId="356C6518" w14:textId="586FE45C" w:rsidR="00261ADE" w:rsidRPr="006356D8" w:rsidRDefault="00E841F1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val="en-US" w:eastAsia="en-GB"/>
              </w:rPr>
            </w:pPr>
            <w:r>
              <w:rPr>
                <w:rFonts w:eastAsia="Times New Roman" w:cs="Calibri"/>
                <w:lang w:val="en-US" w:eastAsia="en-GB"/>
              </w:rPr>
              <w:t>39</w:t>
            </w:r>
            <w:r w:rsidR="00261ADE" w:rsidRPr="006356D8">
              <w:rPr>
                <w:rFonts w:eastAsia="Times New Roman" w:cs="Calibri"/>
                <w:lang w:eastAsia="en-GB"/>
              </w:rPr>
              <w:t>.1</w:t>
            </w:r>
          </w:p>
        </w:tc>
        <w:tc>
          <w:tcPr>
            <w:tcW w:w="9355" w:type="dxa"/>
          </w:tcPr>
          <w:p w14:paraId="1A6F16BF" w14:textId="6142172F" w:rsidR="00261ADE" w:rsidRPr="006356D8" w:rsidRDefault="00D724B6" w:rsidP="006356D8">
            <w:pPr>
              <w:spacing w:before="120" w:after="0" w:line="240" w:lineRule="auto"/>
              <w:ind w:left="315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დიფ</w:t>
            </w:r>
            <w:r w:rsidR="00AD3BD9">
              <w:rPr>
                <w:rFonts w:eastAsia="Times New Roman" w:cs="Calibri"/>
                <w:sz w:val="19"/>
                <w:szCs w:val="19"/>
                <w:lang w:eastAsia="en-GB"/>
              </w:rPr>
              <w:t>თ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ერია-ყივანახველა-ტეტანუსის  </w:t>
            </w:r>
            <w:r>
              <w:rPr>
                <w:rFonts w:eastAsia="Times New Roman" w:cs="Calibri"/>
                <w:sz w:val="19"/>
                <w:szCs w:val="19"/>
                <w:lang w:eastAsia="en-GB"/>
              </w:rPr>
              <w:t>(</w:t>
            </w:r>
            <w:proofErr w:type="spellStart"/>
            <w:r w:rsidR="00261ADE" w:rsidRPr="006356D8">
              <w:rPr>
                <w:rFonts w:eastAsia="Times New Roman" w:cs="Calibri"/>
                <w:lang w:eastAsia="en-GB"/>
              </w:rPr>
              <w:t>დყტ</w:t>
            </w:r>
            <w:proofErr w:type="spellEnd"/>
            <w:r>
              <w:rPr>
                <w:rFonts w:eastAsia="Times New Roman" w:cs="Calibri"/>
                <w:lang w:eastAsia="en-GB"/>
              </w:rPr>
              <w:t>)</w:t>
            </w:r>
            <w:r w:rsidR="00261ADE" w:rsidRPr="006356D8">
              <w:rPr>
                <w:rFonts w:eastAsia="Times New Roman" w:cs="Calibri"/>
                <w:lang w:eastAsia="en-GB"/>
              </w:rPr>
              <w:t xml:space="preserve"> </w:t>
            </w:r>
            <w:r>
              <w:rPr>
                <w:rFonts w:eastAsia="Times New Roman" w:cs="Calibri"/>
                <w:sz w:val="19"/>
                <w:szCs w:val="19"/>
                <w:lang w:eastAsia="en-GB"/>
              </w:rPr>
              <w:t>ანტიგენების შემ</w:t>
            </w:r>
            <w:r w:rsidR="00AF21BE">
              <w:rPr>
                <w:rFonts w:eastAsia="Times New Roman" w:cs="Calibri"/>
                <w:sz w:val="19"/>
                <w:szCs w:val="19"/>
                <w:lang w:eastAsia="en-GB"/>
              </w:rPr>
              <w:t>ც</w:t>
            </w:r>
            <w:r>
              <w:rPr>
                <w:rFonts w:eastAsia="Times New Roman" w:cs="Calibri"/>
                <w:sz w:val="19"/>
                <w:szCs w:val="19"/>
                <w:lang w:eastAsia="en-GB"/>
              </w:rPr>
              <w:t>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="00261ADE" w:rsidRPr="006356D8">
              <w:rPr>
                <w:rFonts w:eastAsia="Times New Roman" w:cs="Calibri"/>
                <w:lang w:eastAsia="en-GB"/>
              </w:rPr>
              <w:t xml:space="preserve">ვაქცინის სამი დოზით </w:t>
            </w:r>
            <w:r w:rsidR="00261ADE" w:rsidRPr="006356D8">
              <w:rPr>
                <w:rFonts w:eastAsia="Times New Roman" w:cs="Sylfaen"/>
                <w:lang w:eastAsia="en-GB"/>
              </w:rPr>
              <w:t>მოცვა (</w:t>
            </w:r>
            <w:proofErr w:type="spellStart"/>
            <w:r>
              <w:rPr>
                <w:rFonts w:eastAsia="Times New Roman" w:cs="Calibri"/>
                <w:lang w:val="en-US" w:eastAsia="en-GB"/>
              </w:rPr>
              <w:t>Hexa</w:t>
            </w:r>
            <w:proofErr w:type="spellEnd"/>
            <w:r w:rsidR="00261ADE" w:rsidRPr="006356D8">
              <w:rPr>
                <w:rFonts w:eastAsia="Times New Roman" w:cs="Calibri"/>
                <w:lang w:eastAsia="en-GB"/>
              </w:rPr>
              <w:t>-3)</w:t>
            </w:r>
          </w:p>
        </w:tc>
      </w:tr>
      <w:tr w:rsidR="006356D8" w:rsidRPr="006356D8" w14:paraId="1FDE570E" w14:textId="77777777" w:rsidTr="005D3B8E">
        <w:trPr>
          <w:trHeight w:val="5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43469B11" w14:textId="77777777" w:rsidR="00261ADE" w:rsidRPr="006356D8" w:rsidRDefault="00261ADE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vMerge/>
          </w:tcPr>
          <w:p w14:paraId="06B7A62F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</w:p>
        </w:tc>
        <w:tc>
          <w:tcPr>
            <w:tcW w:w="1701" w:type="dxa"/>
          </w:tcPr>
          <w:p w14:paraId="143BBAAB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შედეგის</w:t>
            </w:r>
          </w:p>
        </w:tc>
        <w:tc>
          <w:tcPr>
            <w:tcW w:w="709" w:type="dxa"/>
            <w:vAlign w:val="center"/>
          </w:tcPr>
          <w:p w14:paraId="683D1FE6" w14:textId="08478779" w:rsidR="00261ADE" w:rsidRPr="006356D8" w:rsidRDefault="00E841F1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>
              <w:rPr>
                <w:rFonts w:eastAsia="Times New Roman" w:cs="Calibri"/>
                <w:lang w:val="en-US" w:eastAsia="en-GB"/>
              </w:rPr>
              <w:t>39</w:t>
            </w:r>
            <w:r w:rsidR="00261ADE" w:rsidRPr="006356D8">
              <w:rPr>
                <w:rFonts w:eastAsia="Times New Roman" w:cs="Calibri"/>
                <w:lang w:eastAsia="en-GB"/>
              </w:rPr>
              <w:t>.2</w:t>
            </w:r>
          </w:p>
        </w:tc>
        <w:tc>
          <w:tcPr>
            <w:tcW w:w="9355" w:type="dxa"/>
          </w:tcPr>
          <w:p w14:paraId="0BFDBA3C" w14:textId="2D235FD5" w:rsidR="00261ADE" w:rsidRPr="006356D8" w:rsidRDefault="00D724B6" w:rsidP="006356D8">
            <w:pPr>
              <w:spacing w:before="120" w:after="0" w:line="240" w:lineRule="auto"/>
              <w:ind w:left="315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>
              <w:rPr>
                <w:rFonts w:eastAsia="Times New Roman" w:cs="Sylfaen"/>
                <w:lang w:eastAsia="en-GB"/>
              </w:rPr>
              <w:t>წითელა-წითურა-ყბაყურა (</w:t>
            </w:r>
            <w:proofErr w:type="spellStart"/>
            <w:r w:rsidR="00261ADE" w:rsidRPr="006356D8">
              <w:rPr>
                <w:rFonts w:eastAsia="Times New Roman" w:cs="Sylfaen"/>
                <w:lang w:eastAsia="en-GB"/>
              </w:rPr>
              <w:t>წწყ</w:t>
            </w:r>
            <w:proofErr w:type="spellEnd"/>
            <w:r>
              <w:rPr>
                <w:rFonts w:eastAsia="Times New Roman" w:cs="Sylfaen"/>
                <w:lang w:eastAsia="en-GB"/>
              </w:rPr>
              <w:t>) ანტიგენების შემცველი</w:t>
            </w:r>
            <w:r w:rsidR="00261ADE" w:rsidRPr="006356D8">
              <w:rPr>
                <w:rFonts w:eastAsia="Times New Roman" w:cs="Sylfaen"/>
                <w:lang w:eastAsia="en-GB"/>
              </w:rPr>
              <w:t xml:space="preserve"> ვაქცინის პირველი დოზით მოცვა (MMR-1)</w:t>
            </w:r>
          </w:p>
        </w:tc>
      </w:tr>
      <w:tr w:rsidR="006356D8" w:rsidRPr="006356D8" w14:paraId="7EB91E12" w14:textId="77777777" w:rsidTr="005D3B8E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9" w:type="dxa"/>
            <w:vMerge/>
          </w:tcPr>
          <w:p w14:paraId="2FBE83F6" w14:textId="77777777" w:rsidR="00261ADE" w:rsidRPr="006356D8" w:rsidRDefault="00261ADE" w:rsidP="006356D8">
            <w:pPr>
              <w:spacing w:before="120" w:after="0" w:line="240" w:lineRule="auto"/>
              <w:jc w:val="left"/>
              <w:rPr>
                <w:rFonts w:eastAsia="Times New Roman" w:cs="Calibri"/>
                <w:lang w:eastAsia="en-GB"/>
              </w:rPr>
            </w:pPr>
          </w:p>
        </w:tc>
        <w:tc>
          <w:tcPr>
            <w:tcW w:w="1843" w:type="dxa"/>
            <w:vMerge/>
          </w:tcPr>
          <w:p w14:paraId="3AD93FF8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</w:p>
        </w:tc>
        <w:tc>
          <w:tcPr>
            <w:tcW w:w="1701" w:type="dxa"/>
          </w:tcPr>
          <w:p w14:paraId="03787E44" w14:textId="77777777" w:rsidR="00261ADE" w:rsidRPr="006356D8" w:rsidRDefault="00261ADE" w:rsidP="006356D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 w:rsidRPr="006356D8">
              <w:rPr>
                <w:rFonts w:eastAsia="Times New Roman" w:cs="Calibri"/>
                <w:lang w:eastAsia="en-GB"/>
              </w:rPr>
              <w:t>შედეგის</w:t>
            </w:r>
          </w:p>
        </w:tc>
        <w:tc>
          <w:tcPr>
            <w:tcW w:w="709" w:type="dxa"/>
            <w:vAlign w:val="center"/>
          </w:tcPr>
          <w:p w14:paraId="07F4A2DD" w14:textId="0D34E2A7" w:rsidR="00261ADE" w:rsidRPr="006356D8" w:rsidRDefault="00E841F1" w:rsidP="005D3B8E">
            <w:pPr>
              <w:tabs>
                <w:tab w:val="left" w:pos="307"/>
              </w:tabs>
              <w:spacing w:before="120" w:after="0" w:line="240" w:lineRule="auto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lang w:eastAsia="en-GB"/>
              </w:rPr>
            </w:pPr>
            <w:r>
              <w:rPr>
                <w:rFonts w:eastAsia="Times New Roman" w:cs="Calibri"/>
                <w:lang w:val="en-US" w:eastAsia="en-GB"/>
              </w:rPr>
              <w:t>39</w:t>
            </w:r>
            <w:r w:rsidR="00261ADE" w:rsidRPr="006356D8">
              <w:rPr>
                <w:rFonts w:eastAsia="Times New Roman" w:cs="Calibri"/>
                <w:lang w:eastAsia="en-GB"/>
              </w:rPr>
              <w:t>.3</w:t>
            </w:r>
          </w:p>
        </w:tc>
        <w:tc>
          <w:tcPr>
            <w:tcW w:w="9355" w:type="dxa"/>
          </w:tcPr>
          <w:p w14:paraId="4F189FD9" w14:textId="673936BF" w:rsidR="00261ADE" w:rsidRPr="006356D8" w:rsidRDefault="00D724B6" w:rsidP="006356D8">
            <w:pPr>
              <w:spacing w:before="120" w:after="0" w:line="240" w:lineRule="auto"/>
              <w:ind w:left="315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lang w:eastAsia="en-GB"/>
              </w:rPr>
            </w:pPr>
            <w:r>
              <w:rPr>
                <w:rFonts w:eastAsia="Times New Roman" w:cs="Sylfaen"/>
                <w:lang w:eastAsia="en-GB"/>
              </w:rPr>
              <w:t>წითელა-წითურა-ყბაყურა (</w:t>
            </w:r>
            <w:proofErr w:type="spellStart"/>
            <w:r w:rsidR="00261ADE" w:rsidRPr="006356D8">
              <w:rPr>
                <w:rFonts w:eastAsia="Times New Roman" w:cs="Sylfaen"/>
                <w:lang w:eastAsia="en-GB"/>
              </w:rPr>
              <w:t>წწყ</w:t>
            </w:r>
            <w:proofErr w:type="spellEnd"/>
            <w:r>
              <w:rPr>
                <w:rFonts w:eastAsia="Times New Roman" w:cs="Sylfaen"/>
                <w:lang w:eastAsia="en-GB"/>
              </w:rPr>
              <w:t>)</w:t>
            </w:r>
            <w:r w:rsidR="00074222">
              <w:rPr>
                <w:rFonts w:eastAsia="Times New Roman" w:cs="Sylfaen"/>
                <w:lang w:eastAsia="en-GB"/>
              </w:rPr>
              <w:t xml:space="preserve"> </w:t>
            </w:r>
            <w:r>
              <w:rPr>
                <w:rFonts w:eastAsia="Times New Roman" w:cs="Sylfaen"/>
                <w:lang w:eastAsia="en-GB"/>
              </w:rPr>
              <w:t>ანტიგენების შემცველი</w:t>
            </w:r>
            <w:r w:rsidRPr="006356D8">
              <w:rPr>
                <w:rFonts w:eastAsia="Times New Roman" w:cs="Sylfaen"/>
                <w:lang w:eastAsia="en-GB"/>
              </w:rPr>
              <w:t xml:space="preserve"> </w:t>
            </w:r>
            <w:r w:rsidR="00261ADE" w:rsidRPr="006356D8">
              <w:rPr>
                <w:rFonts w:eastAsia="Times New Roman" w:cs="Sylfaen"/>
                <w:lang w:eastAsia="en-GB"/>
              </w:rPr>
              <w:t>ვაქცინის მეორე დოზით მოცვა (MMR-2)</w:t>
            </w:r>
          </w:p>
        </w:tc>
      </w:tr>
    </w:tbl>
    <w:p w14:paraId="2B8E48AA" w14:textId="77777777" w:rsidR="006356D8" w:rsidRDefault="006356D8">
      <w:pPr>
        <w:spacing w:after="0" w:line="240" w:lineRule="auto"/>
        <w:jc w:val="left"/>
        <w:rPr>
          <w:rFonts w:eastAsia="Helvetica" w:cs="Helvetica"/>
          <w:b/>
          <w:bCs/>
          <w:sz w:val="22"/>
        </w:rPr>
      </w:pPr>
      <w:r>
        <w:br w:type="page"/>
      </w:r>
    </w:p>
    <w:p w14:paraId="663814C9" w14:textId="7CEE7D5F" w:rsidR="00BB45F3" w:rsidRDefault="00B167BE" w:rsidP="00BB2602">
      <w:pPr>
        <w:pStyle w:val="Caption"/>
        <w:spacing w:after="0" w:line="240" w:lineRule="auto"/>
        <w:rPr>
          <w:color w:val="auto"/>
        </w:rPr>
      </w:pPr>
      <w:r w:rsidRPr="0022243A">
        <w:rPr>
          <w:color w:val="auto"/>
        </w:rPr>
        <w:lastRenderedPageBreak/>
        <w:t xml:space="preserve">ცხრილი </w:t>
      </w:r>
      <w:r w:rsidR="00FD13E5" w:rsidRPr="0022243A">
        <w:rPr>
          <w:color w:val="auto"/>
        </w:rPr>
        <w:fldChar w:fldCharType="begin"/>
      </w:r>
      <w:r w:rsidR="00FD13E5" w:rsidRPr="0022243A">
        <w:rPr>
          <w:color w:val="auto"/>
        </w:rPr>
        <w:instrText xml:space="preserve"> SEQ ცხრილი \* ARABIC </w:instrText>
      </w:r>
      <w:r w:rsidR="00FD13E5" w:rsidRPr="0022243A">
        <w:rPr>
          <w:color w:val="auto"/>
        </w:rPr>
        <w:fldChar w:fldCharType="separate"/>
      </w:r>
      <w:r w:rsidR="007450D9">
        <w:rPr>
          <w:noProof/>
          <w:color w:val="auto"/>
        </w:rPr>
        <w:t>2</w:t>
      </w:r>
      <w:r w:rsidR="00FD13E5" w:rsidRPr="0022243A">
        <w:rPr>
          <w:noProof/>
          <w:color w:val="auto"/>
        </w:rPr>
        <w:fldChar w:fldCharType="end"/>
      </w:r>
      <w:r w:rsidRPr="0022243A">
        <w:rPr>
          <w:color w:val="auto"/>
        </w:rPr>
        <w:t>. ინდიკატორების პასპორტი</w:t>
      </w:r>
    </w:p>
    <w:p w14:paraId="17FF4181" w14:textId="77777777" w:rsidR="00180A14" w:rsidRPr="00180A14" w:rsidRDefault="00180A14" w:rsidP="00180A14"/>
    <w:tbl>
      <w:tblPr>
        <w:tblStyle w:val="GridTable1Light-Accent11"/>
        <w:tblpPr w:leftFromText="180" w:rightFromText="180" w:vertAnchor="text" w:tblpX="-836" w:tblpY="1"/>
        <w:tblOverlap w:val="never"/>
        <w:tblW w:w="15849" w:type="dxa"/>
        <w:tblLayout w:type="fixed"/>
        <w:tblLook w:val="04A0" w:firstRow="1" w:lastRow="0" w:firstColumn="1" w:lastColumn="0" w:noHBand="0" w:noVBand="1"/>
      </w:tblPr>
      <w:tblGrid>
        <w:gridCol w:w="571"/>
        <w:gridCol w:w="2063"/>
        <w:gridCol w:w="3375"/>
        <w:gridCol w:w="3826"/>
        <w:gridCol w:w="1869"/>
        <w:gridCol w:w="1404"/>
        <w:gridCol w:w="1440"/>
        <w:gridCol w:w="1301"/>
      </w:tblGrid>
      <w:tr w:rsidR="0022243A" w:rsidRPr="004C3B01" w14:paraId="4A3CE3BA" w14:textId="77777777" w:rsidTr="004C3B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7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tcBorders>
              <w:top w:val="double" w:sz="4" w:space="0" w:color="4472C4"/>
            </w:tcBorders>
            <w:shd w:val="clear" w:color="auto" w:fill="C3DFFA"/>
          </w:tcPr>
          <w:p w14:paraId="352E1A77" w14:textId="0B6B67CF" w:rsidR="00982857" w:rsidRPr="004C3B01" w:rsidRDefault="00982857" w:rsidP="004C3B01">
            <w:pPr>
              <w:spacing w:after="0" w:line="240" w:lineRule="auto"/>
              <w:jc w:val="left"/>
              <w:rPr>
                <w:rFonts w:eastAsia="Times New Roman" w:cs="Times New Roman"/>
                <w:sz w:val="19"/>
                <w:szCs w:val="19"/>
                <w:lang w:val="en-US" w:eastAsia="en-GB"/>
              </w:rPr>
            </w:pPr>
            <w:r w:rsidRPr="004C3B01">
              <w:rPr>
                <w:rFonts w:eastAsia="Times New Roman" w:cs="Times New Roman"/>
                <w:sz w:val="19"/>
                <w:szCs w:val="19"/>
                <w:lang w:val="en-US" w:eastAsia="en-GB"/>
              </w:rPr>
              <w:t>N</w:t>
            </w:r>
          </w:p>
        </w:tc>
        <w:tc>
          <w:tcPr>
            <w:tcW w:w="2063" w:type="dxa"/>
            <w:tcBorders>
              <w:top w:val="double" w:sz="4" w:space="0" w:color="4472C4"/>
            </w:tcBorders>
            <w:shd w:val="clear" w:color="auto" w:fill="C3DFFA"/>
          </w:tcPr>
          <w:p w14:paraId="0D7643ED" w14:textId="5979EAB5" w:rsidR="00982857" w:rsidRPr="004C3B01" w:rsidRDefault="00982857" w:rsidP="004C3B01">
            <w:pPr>
              <w:spacing w:after="0"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Times New Roman"/>
                <w:sz w:val="19"/>
                <w:szCs w:val="19"/>
                <w:lang w:eastAsia="en-GB"/>
              </w:rPr>
              <w:t>დასახელება</w:t>
            </w:r>
          </w:p>
        </w:tc>
        <w:tc>
          <w:tcPr>
            <w:tcW w:w="3375" w:type="dxa"/>
            <w:tcBorders>
              <w:top w:val="double" w:sz="4" w:space="0" w:color="4472C4"/>
            </w:tcBorders>
            <w:shd w:val="clear" w:color="auto" w:fill="C3DFFA"/>
          </w:tcPr>
          <w:p w14:paraId="07E84911" w14:textId="77777777" w:rsidR="00982857" w:rsidRPr="004C3B01" w:rsidRDefault="00982857" w:rsidP="004C3B01">
            <w:pPr>
              <w:spacing w:after="0"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 w:val="0"/>
                <w:bCs w:val="0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Times New Roman"/>
                <w:sz w:val="19"/>
                <w:szCs w:val="19"/>
                <w:lang w:eastAsia="en-GB"/>
              </w:rPr>
              <w:t>აღწერილობა</w:t>
            </w:r>
          </w:p>
          <w:p w14:paraId="0D189685" w14:textId="7547B391" w:rsidR="00982857" w:rsidRPr="004C3B01" w:rsidRDefault="00982857" w:rsidP="004C3B01">
            <w:pPr>
              <w:spacing w:after="0"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Times New Roman"/>
                <w:sz w:val="19"/>
                <w:szCs w:val="19"/>
                <w:lang w:eastAsia="en-GB"/>
              </w:rPr>
              <w:t>ინტერპრეტაცია / მტკიცებულება</w:t>
            </w:r>
          </w:p>
        </w:tc>
        <w:tc>
          <w:tcPr>
            <w:tcW w:w="3826" w:type="dxa"/>
            <w:tcBorders>
              <w:top w:val="double" w:sz="4" w:space="0" w:color="4472C4"/>
            </w:tcBorders>
            <w:shd w:val="clear" w:color="auto" w:fill="C3DFFA"/>
          </w:tcPr>
          <w:p w14:paraId="4F1A1F56" w14:textId="269D583F" w:rsidR="00982857" w:rsidRPr="004C3B01" w:rsidRDefault="00982857" w:rsidP="004C3B01">
            <w:pPr>
              <w:spacing w:after="0"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Times New Roman"/>
                <w:sz w:val="19"/>
                <w:szCs w:val="19"/>
                <w:lang w:eastAsia="en-GB"/>
              </w:rPr>
              <w:t>კალკულაცია,</w:t>
            </w:r>
          </w:p>
          <w:p w14:paraId="3831004F" w14:textId="77777777" w:rsidR="00982857" w:rsidRPr="004C3B01" w:rsidRDefault="00982857" w:rsidP="004C3B01">
            <w:pPr>
              <w:spacing w:after="0"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Times New Roman"/>
                <w:sz w:val="19"/>
                <w:szCs w:val="19"/>
                <w:lang w:eastAsia="en-GB"/>
              </w:rPr>
              <w:t>დეზაგრეგაცია</w:t>
            </w:r>
            <w:proofErr w:type="spellEnd"/>
          </w:p>
          <w:p w14:paraId="75241B90" w14:textId="7539B2E2" w:rsidR="00982857" w:rsidRPr="004C3B01" w:rsidRDefault="00982857" w:rsidP="004C3B01">
            <w:pPr>
              <w:spacing w:after="0"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</w:p>
        </w:tc>
        <w:tc>
          <w:tcPr>
            <w:tcW w:w="1869" w:type="dxa"/>
            <w:tcBorders>
              <w:top w:val="double" w:sz="4" w:space="0" w:color="4472C4"/>
            </w:tcBorders>
            <w:shd w:val="clear" w:color="auto" w:fill="C3DFFA"/>
          </w:tcPr>
          <w:p w14:paraId="3956E30D" w14:textId="285D5DA5" w:rsidR="00982857" w:rsidRPr="004C3B01" w:rsidRDefault="00982857" w:rsidP="004C3B01">
            <w:pPr>
              <w:spacing w:after="0" w:line="240" w:lineRule="auto"/>
              <w:ind w:right="-11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Times New Roman"/>
                <w:sz w:val="19"/>
                <w:szCs w:val="19"/>
                <w:lang w:eastAsia="en-GB"/>
              </w:rPr>
              <w:t>საბაზისო მაჩვენებელი</w:t>
            </w:r>
          </w:p>
        </w:tc>
        <w:tc>
          <w:tcPr>
            <w:tcW w:w="1404" w:type="dxa"/>
            <w:tcBorders>
              <w:top w:val="double" w:sz="4" w:space="0" w:color="4472C4"/>
            </w:tcBorders>
            <w:shd w:val="clear" w:color="auto" w:fill="C3DFFA"/>
          </w:tcPr>
          <w:p w14:paraId="1961B18D" w14:textId="19F6F8AE" w:rsidR="00982857" w:rsidRPr="004C3B01" w:rsidRDefault="00982857" w:rsidP="004C3B01">
            <w:pPr>
              <w:spacing w:after="0" w:line="240" w:lineRule="auto"/>
              <w:ind w:right="-114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Times New Roman"/>
                <w:sz w:val="19"/>
                <w:szCs w:val="19"/>
                <w:lang w:eastAsia="en-GB"/>
              </w:rPr>
              <w:t>შუალედური სამიზნე</w:t>
            </w:r>
          </w:p>
          <w:p w14:paraId="3E801379" w14:textId="2E096EA0" w:rsidR="00982857" w:rsidRPr="004C3B01" w:rsidRDefault="00982857" w:rsidP="004C3B01">
            <w:pPr>
              <w:spacing w:after="0"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Times New Roman"/>
                <w:sz w:val="19"/>
                <w:szCs w:val="19"/>
                <w:lang w:eastAsia="en-GB"/>
              </w:rPr>
              <w:t>2028წ</w:t>
            </w:r>
          </w:p>
        </w:tc>
        <w:tc>
          <w:tcPr>
            <w:tcW w:w="1440" w:type="dxa"/>
            <w:tcBorders>
              <w:top w:val="double" w:sz="4" w:space="0" w:color="4472C4"/>
            </w:tcBorders>
            <w:shd w:val="clear" w:color="auto" w:fill="C3DFFA"/>
          </w:tcPr>
          <w:p w14:paraId="5C2AC1CA" w14:textId="5E68AE24" w:rsidR="00982857" w:rsidRPr="004C3B01" w:rsidRDefault="00982857" w:rsidP="004C3B01">
            <w:pPr>
              <w:spacing w:after="0"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Times New Roman"/>
                <w:sz w:val="19"/>
                <w:szCs w:val="19"/>
                <w:lang w:eastAsia="en-GB"/>
              </w:rPr>
              <w:t>საბოლოო სამიზნე</w:t>
            </w:r>
          </w:p>
          <w:p w14:paraId="02D3B330" w14:textId="7F0FE35B" w:rsidR="00982857" w:rsidRPr="004C3B01" w:rsidRDefault="00982857" w:rsidP="004C3B01">
            <w:pPr>
              <w:spacing w:after="0"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Times New Roman"/>
                <w:sz w:val="19"/>
                <w:szCs w:val="19"/>
                <w:lang w:eastAsia="en-GB"/>
              </w:rPr>
              <w:t>2030წ</w:t>
            </w:r>
          </w:p>
        </w:tc>
        <w:tc>
          <w:tcPr>
            <w:tcW w:w="1301" w:type="dxa"/>
            <w:tcBorders>
              <w:top w:val="double" w:sz="4" w:space="0" w:color="4472C4"/>
            </w:tcBorders>
            <w:shd w:val="clear" w:color="auto" w:fill="C3DFFA"/>
          </w:tcPr>
          <w:p w14:paraId="0AEC77D0" w14:textId="4E23158E" w:rsidR="00982857" w:rsidRPr="004C3B01" w:rsidRDefault="00982857" w:rsidP="004C3B01">
            <w:pPr>
              <w:spacing w:after="0"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Times New Roman"/>
                <w:sz w:val="19"/>
                <w:szCs w:val="19"/>
                <w:lang w:eastAsia="en-GB"/>
              </w:rPr>
              <w:t>წყარო</w:t>
            </w:r>
          </w:p>
        </w:tc>
      </w:tr>
      <w:tr w:rsidR="0022243A" w:rsidRPr="004C3B01" w14:paraId="7E35E3E6" w14:textId="77777777" w:rsidTr="009A1DF2">
        <w:trPr>
          <w:trHeight w:val="43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3168BA2C" w14:textId="45BD8D3A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1</w:t>
            </w:r>
          </w:p>
        </w:tc>
        <w:tc>
          <w:tcPr>
            <w:tcW w:w="2063" w:type="dxa"/>
            <w:shd w:val="clear" w:color="auto" w:fill="auto"/>
          </w:tcPr>
          <w:p w14:paraId="5973B29E" w14:textId="5E7D781B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ჯანმრთელი სიცოცხლის მოსალოდნელი ხანგრძლივობა (HALE) დაბადებისას</w:t>
            </w:r>
          </w:p>
        </w:tc>
        <w:tc>
          <w:tcPr>
            <w:tcW w:w="3375" w:type="dxa"/>
          </w:tcPr>
          <w:p w14:paraId="46984C49" w14:textId="3B70DC81" w:rsidR="007450D9" w:rsidRPr="007450D9" w:rsidRDefault="007450D9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>
              <w:rPr>
                <w:rFonts w:eastAsia="Times New Roman" w:cs="Sylfaen"/>
                <w:sz w:val="19"/>
                <w:szCs w:val="19"/>
                <w:lang w:eastAsia="en-GB"/>
              </w:rPr>
              <w:t xml:space="preserve">წლების საშუალო რაოდენობა, რომელიც ადამიანმა შეიძლება იცხოვროს „სრულ ჯანმრთელობაში“, ავადმყოფობის და/ან ტრავმის გამო არასრული ჯანმრთელობით ცხოვრების წლების გათვალისწინებით. </w:t>
            </w:r>
          </w:p>
        </w:tc>
        <w:tc>
          <w:tcPr>
            <w:tcW w:w="3826" w:type="dxa"/>
          </w:tcPr>
          <w:p w14:paraId="30F8343C" w14:textId="3AC71572" w:rsidR="0022243A" w:rsidRPr="004C3B01" w:rsidRDefault="00EB3E03" w:rsidP="004C3B01">
            <w:pPr>
              <w:spacing w:before="4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sz w:val="19"/>
                <w:szCs w:val="19"/>
                <w:lang w:val="en-US" w:eastAsia="en-GB"/>
              </w:rPr>
            </w:pPr>
            <w:r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შეფასების მეთოდი</w:t>
            </w:r>
            <w:r w:rsidR="0022243A" w:rsidRPr="004C3B01">
              <w:rPr>
                <w:rFonts w:eastAsia="Times New Roman" w:cs="Calibri"/>
                <w:b/>
                <w:bCs/>
                <w:sz w:val="19"/>
                <w:szCs w:val="19"/>
                <w:lang w:val="en-US" w:eastAsia="en-GB"/>
              </w:rPr>
              <w:t>:</w:t>
            </w:r>
          </w:p>
          <w:p w14:paraId="2C6CDCA2" w14:textId="1C686FB5" w:rsidR="007450D9" w:rsidRDefault="007450D9" w:rsidP="004C3B01">
            <w:pPr>
              <w:spacing w:before="4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val="en-US" w:eastAsia="en-GB"/>
              </w:rPr>
            </w:pPr>
          </w:p>
          <w:p w14:paraId="5C1B0D0F" w14:textId="05E9EA5B" w:rsidR="007450D9" w:rsidRPr="004C3B01" w:rsidRDefault="007450D9" w:rsidP="004C3B01">
            <w:pPr>
              <w:spacing w:before="4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val="en-US" w:eastAsia="en-GB"/>
              </w:rPr>
            </w:pPr>
            <w:r>
              <w:t xml:space="preserve">HALE-ის </w:t>
            </w:r>
            <w:proofErr w:type="spellStart"/>
            <w:r>
              <w:t>გათვლისთვის</w:t>
            </w:r>
            <w:proofErr w:type="spellEnd"/>
            <w:r>
              <w:t xml:space="preserve"> საჭირო ექვივალენტური დაკარგული ჯანმრთელი წლების წილი შეფასებულია როგორც ინვალიდობით დაკარგული წლები (YLD)  ერთ სულზე, ინდივიდუალური კო-</w:t>
            </w:r>
            <w:proofErr w:type="spellStart"/>
            <w:r>
              <w:t>მორბიდობის</w:t>
            </w:r>
            <w:proofErr w:type="spellEnd"/>
            <w:r>
              <w:t xml:space="preserve">, ასაკის, სქესისა და ქვეყნის </w:t>
            </w:r>
            <w:r w:rsidR="00DA6544">
              <w:t xml:space="preserve">გათვალისწინებით. </w:t>
            </w:r>
            <w:proofErr w:type="spellStart"/>
            <w:r>
              <w:t>სულივანის</w:t>
            </w:r>
            <w:proofErr w:type="spellEnd"/>
            <w:r>
              <w:t xml:space="preserve"> მეთოდი იყენებს ექვივალენტურ დაკარგულ ჯანმრთელ წელს (კო-</w:t>
            </w:r>
            <w:proofErr w:type="spellStart"/>
            <w:r>
              <w:t>მორ</w:t>
            </w:r>
            <w:r w:rsidR="00DA6544">
              <w:t>ბიდო</w:t>
            </w:r>
            <w:r>
              <w:t>ბის</w:t>
            </w:r>
            <w:proofErr w:type="spellEnd"/>
            <w:r>
              <w:t xml:space="preserve"> მიხედვით) თითოეულ ასაკში არსებული </w:t>
            </w:r>
            <w:proofErr w:type="spellStart"/>
            <w:r>
              <w:t>პოპულაცი</w:t>
            </w:r>
            <w:r w:rsidR="00DA6544">
              <w:t>ისთვის</w:t>
            </w:r>
            <w:proofErr w:type="spellEnd"/>
            <w:r>
              <w:t xml:space="preserve"> (</w:t>
            </w:r>
            <w:r w:rsidR="00DA6544">
              <w:t xml:space="preserve">საანგარიშო </w:t>
            </w:r>
            <w:r>
              <w:t>წლისთვის),</w:t>
            </w:r>
            <w:r w:rsidR="00DA6544">
              <w:t xml:space="preserve"> რათა  </w:t>
            </w:r>
            <w:r w:rsidR="00DA6544" w:rsidRPr="00DA6544">
              <w:t>დაყოს ცხოვრების ჰიპოთეტური წლები სხვადასხვა ასაკ</w:t>
            </w:r>
            <w:r w:rsidR="00DA6544">
              <w:t>ობრ</w:t>
            </w:r>
            <w:r w:rsidR="000F24B6">
              <w:t>ივ</w:t>
            </w:r>
            <w:r w:rsidR="00DA6544">
              <w:t xml:space="preserve"> </w:t>
            </w:r>
            <w:r w:rsidR="00EB3E03">
              <w:t xml:space="preserve">კოჰორტაზე </w:t>
            </w:r>
            <w:r w:rsidR="00DA6544" w:rsidRPr="00DA6544">
              <w:t xml:space="preserve">ცხოვრების ცხრილის </w:t>
            </w:r>
            <w:r w:rsidR="00DA6544">
              <w:t>(</w:t>
            </w:r>
            <w:r w:rsidR="00DA6544">
              <w:rPr>
                <w:lang w:val="en-US"/>
              </w:rPr>
              <w:t>life table</w:t>
            </w:r>
            <w:r w:rsidR="00DA6544">
              <w:t xml:space="preserve">) </w:t>
            </w:r>
            <w:r w:rsidR="00EB3E03">
              <w:t>მიხედვით</w:t>
            </w:r>
            <w:r w:rsidR="00DA6544" w:rsidRPr="00DA6544">
              <w:t xml:space="preserve">, ექვივალენტური სრული ჯანმრთელობისა და დაკარგული </w:t>
            </w:r>
            <w:r w:rsidR="00DA6544">
              <w:t>ჯანმრთელი</w:t>
            </w:r>
            <w:r w:rsidR="00DA6544" w:rsidRPr="00DA6544">
              <w:t xml:space="preserve"> </w:t>
            </w:r>
            <w:r w:rsidR="00DA6544">
              <w:t xml:space="preserve">ცხოვრების </w:t>
            </w:r>
            <w:r w:rsidR="00DA6544" w:rsidRPr="00DA6544">
              <w:t>წლები</w:t>
            </w:r>
            <w:r w:rsidR="00EB3E03">
              <w:t>ს შესაბამისად</w:t>
            </w:r>
            <w:r w:rsidR="00DA6544" w:rsidRPr="00DA6544">
              <w:t>. სტატისტიკის ტიპი: პროგნოზირებული</w:t>
            </w:r>
          </w:p>
          <w:p w14:paraId="5EBCD307" w14:textId="6EEC3C22" w:rsidR="0022243A" w:rsidRPr="007450D9" w:rsidRDefault="007450D9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="0022243A" w:rsidRPr="004C3B01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: </w:t>
            </w:r>
            <w:r>
              <w:rPr>
                <w:rFonts w:eastAsia="Times New Roman" w:cs="Calibri"/>
                <w:sz w:val="19"/>
                <w:szCs w:val="19"/>
                <w:lang w:eastAsia="en-GB"/>
              </w:rPr>
              <w:t>ასაკი</w:t>
            </w:r>
            <w:r w:rsidR="0022243A" w:rsidRPr="004C3B01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, </w:t>
            </w:r>
            <w:r>
              <w:rPr>
                <w:rFonts w:eastAsia="Times New Roman" w:cs="Calibri"/>
                <w:sz w:val="19"/>
                <w:szCs w:val="19"/>
                <w:lang w:eastAsia="en-GB"/>
              </w:rPr>
              <w:t>წლები</w:t>
            </w:r>
          </w:p>
        </w:tc>
        <w:tc>
          <w:tcPr>
            <w:tcW w:w="1869" w:type="dxa"/>
            <w:shd w:val="clear" w:color="auto" w:fill="auto"/>
          </w:tcPr>
          <w:p w14:paraId="29603F93" w14:textId="7668DB3D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62.5 (2021)</w:t>
            </w:r>
          </w:p>
        </w:tc>
        <w:tc>
          <w:tcPr>
            <w:tcW w:w="1404" w:type="dxa"/>
            <w:shd w:val="clear" w:color="auto" w:fill="auto"/>
          </w:tcPr>
          <w:p w14:paraId="198240E2" w14:textId="007E3F9C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66</w:t>
            </w:r>
          </w:p>
        </w:tc>
        <w:tc>
          <w:tcPr>
            <w:tcW w:w="1440" w:type="dxa"/>
            <w:shd w:val="clear" w:color="auto" w:fill="auto"/>
          </w:tcPr>
          <w:p w14:paraId="72BD82EA" w14:textId="6C07501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68</w:t>
            </w:r>
          </w:p>
        </w:tc>
        <w:tc>
          <w:tcPr>
            <w:tcW w:w="1301" w:type="dxa"/>
          </w:tcPr>
          <w:p w14:paraId="70D5BE2F" w14:textId="732B940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WHO</w:t>
            </w:r>
          </w:p>
        </w:tc>
      </w:tr>
      <w:tr w:rsidR="0022243A" w:rsidRPr="004C3B01" w14:paraId="1DA558F1" w14:textId="77777777" w:rsidTr="004C3B01">
        <w:trPr>
          <w:trHeight w:val="1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34F379D2" w14:textId="13DFCA95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lastRenderedPageBreak/>
              <w:t>2</w:t>
            </w:r>
          </w:p>
        </w:tc>
        <w:tc>
          <w:tcPr>
            <w:tcW w:w="2063" w:type="dxa"/>
            <w:shd w:val="clear" w:color="auto" w:fill="auto"/>
          </w:tcPr>
          <w:p w14:paraId="741966DB" w14:textId="19BAF91C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ქრონიკული დაავადებებით გამოწვეული ნაადრევი სიკვდილიანობის ალბათობა 30-70 წლის ასაკში</w:t>
            </w:r>
          </w:p>
        </w:tc>
        <w:tc>
          <w:tcPr>
            <w:tcW w:w="3375" w:type="dxa"/>
          </w:tcPr>
          <w:p w14:paraId="6E5318FE" w14:textId="77777777" w:rsidR="0022243A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Per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cent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of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30-year-old-people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who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would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die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before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their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70th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birthday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from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any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of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cardiovascular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disease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,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cancer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,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diabetes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, 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or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chronic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respiratory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disease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,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assuming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that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s/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he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would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experience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current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mortality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rates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at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every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age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and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s/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he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would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not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die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from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any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other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cause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of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death</w:t>
            </w:r>
            <w:proofErr w:type="spellEnd"/>
          </w:p>
          <w:p w14:paraId="71C53945" w14:textId="77777777" w:rsidR="00EB3E03" w:rsidRDefault="00EB3E0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</w:p>
          <w:p w14:paraId="0D8BDEB7" w14:textId="60FC846A" w:rsidR="00EB3E03" w:rsidRPr="004C3B01" w:rsidRDefault="00EB3E0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EB3E03">
              <w:rPr>
                <w:rFonts w:eastAsia="Times New Roman" w:cs="Sylfaen"/>
                <w:sz w:val="19"/>
                <w:szCs w:val="19"/>
                <w:lang w:eastAsia="en-GB"/>
              </w:rPr>
              <w:t>30 წლის</w:t>
            </w:r>
            <w:r>
              <w:rPr>
                <w:rFonts w:eastAsia="Times New Roman" w:cs="Sylfaen"/>
                <w:sz w:val="19"/>
                <w:szCs w:val="19"/>
                <w:lang w:val="en-US" w:eastAsia="en-GB"/>
              </w:rPr>
              <w:t xml:space="preserve"> </w:t>
            </w:r>
            <w:r>
              <w:rPr>
                <w:rFonts w:eastAsia="Times New Roman" w:cs="Sylfaen"/>
                <w:sz w:val="19"/>
                <w:szCs w:val="19"/>
                <w:lang w:eastAsia="en-GB"/>
              </w:rPr>
              <w:t>ასაკში მყოფთა</w:t>
            </w:r>
            <w:r w:rsidRPr="00EB3E03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პროცენტი, რომლებიც </w:t>
            </w:r>
            <w:r>
              <w:rPr>
                <w:rFonts w:eastAsia="Times New Roman" w:cs="Sylfaen"/>
                <w:sz w:val="19"/>
                <w:szCs w:val="19"/>
                <w:lang w:eastAsia="en-GB"/>
              </w:rPr>
              <w:t xml:space="preserve">გარდაიცვლებიან </w:t>
            </w:r>
            <w:r w:rsidRPr="00EB3E03">
              <w:rPr>
                <w:rFonts w:eastAsia="Times New Roman" w:cs="Sylfaen"/>
                <w:sz w:val="19"/>
                <w:szCs w:val="19"/>
                <w:lang w:eastAsia="en-GB"/>
              </w:rPr>
              <w:t>70 წლ</w:t>
            </w:r>
            <w:r>
              <w:rPr>
                <w:rFonts w:eastAsia="Times New Roman" w:cs="Sylfaen"/>
                <w:sz w:val="19"/>
                <w:szCs w:val="19"/>
                <w:lang w:eastAsia="en-GB"/>
              </w:rPr>
              <w:t>ის ასაკამდე</w:t>
            </w:r>
            <w:r w:rsidRPr="00EB3E03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გულ-სისხლძარღვთა დაავადებით, კიბოთი, დიაბეტით ან ქრონიკული რესპირატორული დაავადებით,</w:t>
            </w:r>
            <w:r>
              <w:rPr>
                <w:rFonts w:eastAsia="Times New Roman" w:cs="Sylfaen"/>
                <w:sz w:val="19"/>
                <w:szCs w:val="19"/>
                <w:lang w:eastAsia="en-GB"/>
              </w:rPr>
              <w:t xml:space="preserve"> იმ დაშვებით, რომ </w:t>
            </w:r>
            <w:r w:rsidRPr="00EB3E03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r>
              <w:rPr>
                <w:rFonts w:eastAsia="Times New Roman" w:cs="Sylfaen"/>
                <w:sz w:val="19"/>
                <w:szCs w:val="19"/>
                <w:lang w:eastAsia="en-GB"/>
              </w:rPr>
              <w:t>მათ აქვთ გარდაცვალების</w:t>
            </w:r>
            <w:r w:rsidRPr="00EB3E03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ამჟამინდელ</w:t>
            </w:r>
            <w:r>
              <w:rPr>
                <w:rFonts w:eastAsia="Times New Roman" w:cs="Sylfaen"/>
                <w:sz w:val="19"/>
                <w:szCs w:val="19"/>
                <w:lang w:eastAsia="en-GB"/>
              </w:rPr>
              <w:t>ი</w:t>
            </w:r>
            <w:r w:rsidRPr="00EB3E03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r>
              <w:rPr>
                <w:rFonts w:eastAsia="Times New Roman" w:cs="Sylfaen"/>
                <w:sz w:val="19"/>
                <w:szCs w:val="19"/>
                <w:lang w:eastAsia="en-GB"/>
              </w:rPr>
              <w:t>რისკი</w:t>
            </w:r>
            <w:r w:rsidRPr="00EB3E03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ყველა ასაკში და არ </w:t>
            </w:r>
            <w:r>
              <w:rPr>
                <w:rFonts w:eastAsia="Times New Roman" w:cs="Sylfaen"/>
                <w:sz w:val="19"/>
                <w:szCs w:val="19"/>
                <w:lang w:eastAsia="en-GB"/>
              </w:rPr>
              <w:t xml:space="preserve">გარდაიცვლებიან </w:t>
            </w:r>
            <w:r w:rsidRPr="00EB3E03">
              <w:rPr>
                <w:rFonts w:eastAsia="Times New Roman" w:cs="Sylfaen"/>
                <w:sz w:val="19"/>
                <w:szCs w:val="19"/>
                <w:lang w:eastAsia="en-GB"/>
              </w:rPr>
              <w:t>სხვა მიზეზით.</w:t>
            </w:r>
          </w:p>
        </w:tc>
        <w:tc>
          <w:tcPr>
            <w:tcW w:w="3826" w:type="dxa"/>
          </w:tcPr>
          <w:p w14:paraId="048C1251" w14:textId="3DDC833A" w:rsidR="00EB3E03" w:rsidRPr="00326AAF" w:rsidRDefault="00EB3E0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</w:pP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სიკვდილის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ალბათობა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30-დან 70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წლამდე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r>
              <w:rPr>
                <w:rFonts w:eastAsia="Times New Roman" w:cs="Calibri"/>
                <w:sz w:val="19"/>
                <w:szCs w:val="19"/>
                <w:lang w:eastAsia="en-GB"/>
              </w:rPr>
              <w:t xml:space="preserve">ასაკში,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გამოთვლილი</w:t>
            </w:r>
            <w:proofErr w:type="spellEnd"/>
            <w:r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სიკვდილიანობის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მიზეზის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სპეციფიკური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მაჩვენებლების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გამოყენებით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თითოეულ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5 </w:t>
            </w:r>
            <w:r>
              <w:rPr>
                <w:rFonts w:eastAsia="Times New Roman" w:cs="Calibri"/>
                <w:sz w:val="19"/>
                <w:szCs w:val="19"/>
                <w:lang w:eastAsia="en-GB"/>
              </w:rPr>
              <w:t>წლიან</w:t>
            </w:r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ასაკობრივ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ჯგუფში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და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სტანდარტული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ცხოვრების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ცხრილის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მეთოდების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გამოყენებით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.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შეფასებები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მიღებულია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="000A0108">
              <w:rPr>
                <w:rFonts w:eastAsia="Times New Roman" w:cs="Calibri"/>
                <w:sz w:val="19"/>
                <w:szCs w:val="19"/>
                <w:lang w:val="en-US" w:eastAsia="en-GB"/>
              </w:rPr>
              <w:t>ჯანმრთელობის</w:t>
            </w:r>
            <w:proofErr w:type="spellEnd"/>
            <w:r w:rsidR="000A0108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="000A0108">
              <w:rPr>
                <w:rFonts w:eastAsia="Times New Roman" w:cs="Calibri"/>
                <w:sz w:val="19"/>
                <w:szCs w:val="19"/>
                <w:lang w:val="en-US" w:eastAsia="en-GB"/>
              </w:rPr>
              <w:t>მსოფლიო</w:t>
            </w:r>
            <w:proofErr w:type="spellEnd"/>
            <w:r w:rsidR="000A0108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="000A0108">
              <w:rPr>
                <w:rFonts w:eastAsia="Times New Roman" w:cs="Calibri"/>
                <w:sz w:val="19"/>
                <w:szCs w:val="19"/>
                <w:lang w:val="en-US" w:eastAsia="en-GB"/>
              </w:rPr>
              <w:t>ორგანიზაციის</w:t>
            </w:r>
            <w:proofErr w:type="spellEnd"/>
            <w:r w:rsidR="000A0108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(</w:t>
            </w:r>
            <w:proofErr w:type="spellStart"/>
            <w:r>
              <w:rPr>
                <w:rFonts w:eastAsia="Times New Roman" w:cs="Calibri"/>
                <w:sz w:val="19"/>
                <w:szCs w:val="19"/>
                <w:lang w:eastAsia="en-GB"/>
              </w:rPr>
              <w:t>ჯანმოს</w:t>
            </w:r>
            <w:proofErr w:type="spellEnd"/>
            <w:r w:rsidR="000A0108">
              <w:rPr>
                <w:rFonts w:eastAsia="Times New Roman" w:cs="Calibri"/>
                <w:sz w:val="19"/>
                <w:szCs w:val="19"/>
                <w:lang w:eastAsia="en-GB"/>
              </w:rPr>
              <w:t>)</w:t>
            </w:r>
            <w:r>
              <w:rPr>
                <w:rFonts w:eastAsia="Times New Roman" w:cs="Calibri"/>
                <w:sz w:val="19"/>
                <w:szCs w:val="19"/>
                <w:lang w:eastAsia="en-GB"/>
              </w:rPr>
              <w:t xml:space="preserve"> მიერ</w:t>
            </w:r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(GHE)</w:t>
            </w:r>
            <w:r>
              <w:rPr>
                <w:rFonts w:eastAsia="Times New Roman" w:cs="Calibri"/>
                <w:sz w:val="19"/>
                <w:szCs w:val="19"/>
                <w:lang w:eastAsia="en-GB"/>
              </w:rPr>
              <w:t xml:space="preserve">,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რომლებიც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გამოითვლება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სტანდარტული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კატეგორიების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,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განმარტებებისა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და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მეთოდების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გამოყენებით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,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რათა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უზრუნველყოფილი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იყოს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ქვეყნების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შედარება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,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და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შეიძლება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არ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r w:rsidR="00326AAF">
              <w:rPr>
                <w:rFonts w:eastAsia="Times New Roman" w:cs="Calibri"/>
                <w:sz w:val="19"/>
                <w:szCs w:val="19"/>
                <w:lang w:eastAsia="en-GB"/>
              </w:rPr>
              <w:t xml:space="preserve">ემთხვეოდეს </w:t>
            </w:r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ოფიციალურ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ეროვნულ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შეფასებებს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. </w:t>
            </w:r>
            <w:r w:rsidR="00326AAF">
              <w:rPr>
                <w:rFonts w:eastAsia="Times New Roman" w:cs="Calibri"/>
                <w:sz w:val="19"/>
                <w:szCs w:val="19"/>
                <w:lang w:eastAsia="en-GB"/>
              </w:rPr>
              <w:t>შეყვანილი</w:t>
            </w:r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მონაცემებ</w:t>
            </w:r>
            <w:proofErr w:type="spellEnd"/>
            <w:r w:rsidR="00326AAF">
              <w:rPr>
                <w:rFonts w:eastAsia="Times New Roman" w:cs="Calibri"/>
                <w:sz w:val="19"/>
                <w:szCs w:val="19"/>
                <w:lang w:eastAsia="en-GB"/>
              </w:rPr>
              <w:t>ი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სა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და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მეთოდ</w:t>
            </w:r>
            <w:r w:rsidR="00326AAF">
              <w:rPr>
                <w:rFonts w:eastAsia="Times New Roman" w:cs="Calibri"/>
                <w:sz w:val="19"/>
                <w:szCs w:val="19"/>
                <w:lang w:eastAsia="en-GB"/>
              </w:rPr>
              <w:t>ოლოგიური</w:t>
            </w:r>
            <w:proofErr w:type="spellEnd"/>
            <w:r w:rsidR="00326AAF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ცვლილებების</w:t>
            </w:r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ცვლილებების</w:t>
            </w:r>
            <w:proofErr w:type="spellEnd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 </w:t>
            </w:r>
            <w:proofErr w:type="spellStart"/>
            <w:r w:rsidRPr="00EB3E03">
              <w:rPr>
                <w:rFonts w:eastAsia="Times New Roman" w:cs="Calibri"/>
                <w:sz w:val="19"/>
                <w:szCs w:val="19"/>
                <w:lang w:val="en-US" w:eastAsia="en-GB"/>
              </w:rPr>
              <w:t>გამო</w:t>
            </w:r>
            <w:proofErr w:type="spellEnd"/>
            <w:r w:rsidR="00326AAF">
              <w:rPr>
                <w:rFonts w:eastAsia="Times New Roman" w:cs="Calibri"/>
                <w:sz w:val="19"/>
                <w:szCs w:val="19"/>
                <w:lang w:eastAsia="en-GB"/>
              </w:rPr>
              <w:t>.</w:t>
            </w:r>
          </w:p>
          <w:p w14:paraId="76804961" w14:textId="2FE78E52" w:rsidR="0022243A" w:rsidRPr="004C3B01" w:rsidRDefault="00EB3E0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</w:pPr>
            <w:proofErr w:type="spellStart"/>
            <w:r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="0022243A" w:rsidRPr="004C3B01">
              <w:rPr>
                <w:rFonts w:eastAsia="Times New Roman" w:cs="Calibri"/>
                <w:sz w:val="19"/>
                <w:szCs w:val="19"/>
                <w:lang w:val="en-US" w:eastAsia="en-GB"/>
              </w:rPr>
              <w:t xml:space="preserve">: </w:t>
            </w:r>
            <w:r>
              <w:rPr>
                <w:rFonts w:eastAsia="Times New Roman" w:cs="Calibri"/>
                <w:sz w:val="19"/>
                <w:szCs w:val="19"/>
                <w:lang w:eastAsia="en-GB"/>
              </w:rPr>
              <w:t>ასაკი, სქესი</w:t>
            </w:r>
          </w:p>
        </w:tc>
        <w:tc>
          <w:tcPr>
            <w:tcW w:w="1869" w:type="dxa"/>
            <w:shd w:val="clear" w:color="auto" w:fill="auto"/>
          </w:tcPr>
          <w:p w14:paraId="3EEDFB02" w14:textId="23660BFB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22.4% (2019)</w:t>
            </w:r>
          </w:p>
        </w:tc>
        <w:tc>
          <w:tcPr>
            <w:tcW w:w="1404" w:type="dxa"/>
            <w:shd w:val="clear" w:color="auto" w:fill="auto"/>
          </w:tcPr>
          <w:p w14:paraId="4AC35F15" w14:textId="1CE66684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შემცირება</w:t>
            </w:r>
            <w:r w:rsidRPr="004C3B01">
              <w:rPr>
                <w:sz w:val="19"/>
                <w:szCs w:val="19"/>
              </w:rPr>
              <w:t xml:space="preserve"> 2%-</w:t>
            </w:r>
            <w:r w:rsidRPr="004C3B01">
              <w:rPr>
                <w:rFonts w:cs="Sylfaen"/>
                <w:sz w:val="19"/>
                <w:szCs w:val="19"/>
              </w:rPr>
              <w:t>ით</w:t>
            </w:r>
          </w:p>
        </w:tc>
        <w:tc>
          <w:tcPr>
            <w:tcW w:w="1440" w:type="dxa"/>
            <w:shd w:val="clear" w:color="auto" w:fill="auto"/>
          </w:tcPr>
          <w:p w14:paraId="44237CEC" w14:textId="4DF7909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შემცირება</w:t>
            </w:r>
            <w:r w:rsidRPr="004C3B01">
              <w:rPr>
                <w:sz w:val="19"/>
                <w:szCs w:val="19"/>
              </w:rPr>
              <w:t xml:space="preserve"> 5%-</w:t>
            </w:r>
            <w:r w:rsidRPr="004C3B01">
              <w:rPr>
                <w:rFonts w:cs="Sylfaen"/>
                <w:sz w:val="19"/>
                <w:szCs w:val="19"/>
              </w:rPr>
              <w:t>ით</w:t>
            </w:r>
          </w:p>
        </w:tc>
        <w:tc>
          <w:tcPr>
            <w:tcW w:w="1301" w:type="dxa"/>
          </w:tcPr>
          <w:p w14:paraId="130277FE" w14:textId="2D740638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WHO</w:t>
            </w:r>
          </w:p>
        </w:tc>
      </w:tr>
      <w:tr w:rsidR="0022243A" w:rsidRPr="004C3B01" w14:paraId="1CEBDDDA" w14:textId="77777777" w:rsidTr="009A1DF2">
        <w:trPr>
          <w:trHeight w:val="20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251959BA" w14:textId="7960DEC2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2.1</w:t>
            </w:r>
          </w:p>
        </w:tc>
        <w:tc>
          <w:tcPr>
            <w:tcW w:w="2063" w:type="dxa"/>
            <w:shd w:val="clear" w:color="auto" w:fill="auto"/>
          </w:tcPr>
          <w:p w14:paraId="4CF512F3" w14:textId="7B952E2C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გულ-სისხლძარღვთა დაავადებებით გამოწვეული ნაადრევი სიკვდილიანობა 100,000 მოსახლეზე</w:t>
            </w:r>
          </w:p>
        </w:tc>
        <w:tc>
          <w:tcPr>
            <w:tcW w:w="3375" w:type="dxa"/>
          </w:tcPr>
          <w:p w14:paraId="70E4DB3A" w14:textId="14BA963B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გულ-სისხლძარღვთა დაავადებებით გამოწვეული სიკვდილიანობის ალბათობა 30-დან 70 წლამდე ასაკში.</w:t>
            </w:r>
          </w:p>
        </w:tc>
        <w:tc>
          <w:tcPr>
            <w:tcW w:w="3826" w:type="dxa"/>
          </w:tcPr>
          <w:p w14:paraId="552216D8" w14:textId="77777777" w:rsidR="0022243A" w:rsidRPr="004C3B01" w:rsidRDefault="0022243A" w:rsidP="004C3B01">
            <w:pPr>
              <w:spacing w:before="4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მრიცხველი: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გულ-სისხლძარღვთა დაავადებებით </w:t>
            </w:r>
            <w:r w:rsidRPr="004C3B01">
              <w:rPr>
                <w:sz w:val="19"/>
                <w:szCs w:val="19"/>
              </w:rPr>
              <w:t>გამოწვეული საერთო სიკვდილიანობა 30-70 წლის ასაკობრივ ჯგუფში</w:t>
            </w:r>
          </w:p>
          <w:p w14:paraId="17D34C44" w14:textId="77777777" w:rsidR="0022243A" w:rsidRPr="004C3B01" w:rsidRDefault="0022243A" w:rsidP="004C3B01">
            <w:pPr>
              <w:spacing w:before="4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მნიშვნელი: </w:t>
            </w:r>
            <w:r w:rsidRPr="004C3B01">
              <w:rPr>
                <w:sz w:val="19"/>
                <w:szCs w:val="19"/>
              </w:rPr>
              <w:t>30-70 წლის ასაკის ადამიანთა საერთო რ-ბა  x 100,000</w:t>
            </w:r>
          </w:p>
          <w:p w14:paraId="262AEB5F" w14:textId="2021807B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ასაკი, სქესი</w:t>
            </w:r>
          </w:p>
        </w:tc>
        <w:tc>
          <w:tcPr>
            <w:tcW w:w="1869" w:type="dxa"/>
            <w:shd w:val="clear" w:color="auto" w:fill="auto"/>
          </w:tcPr>
          <w:p w14:paraId="73084AA7" w14:textId="63F88BA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171 (2023)</w:t>
            </w:r>
          </w:p>
        </w:tc>
        <w:tc>
          <w:tcPr>
            <w:tcW w:w="1404" w:type="dxa"/>
            <w:shd w:val="clear" w:color="auto" w:fill="auto"/>
          </w:tcPr>
          <w:p w14:paraId="2024DB9C" w14:textId="511181A5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შემცირება</w:t>
            </w:r>
            <w:r w:rsidRPr="004C3B01">
              <w:rPr>
                <w:sz w:val="19"/>
                <w:szCs w:val="19"/>
              </w:rPr>
              <w:t xml:space="preserve"> 2%-</w:t>
            </w:r>
            <w:r w:rsidRPr="004C3B01">
              <w:rPr>
                <w:rFonts w:cs="Sylfaen"/>
                <w:sz w:val="19"/>
                <w:szCs w:val="19"/>
              </w:rPr>
              <w:t>ით</w:t>
            </w:r>
          </w:p>
        </w:tc>
        <w:tc>
          <w:tcPr>
            <w:tcW w:w="1440" w:type="dxa"/>
            <w:shd w:val="clear" w:color="auto" w:fill="auto"/>
          </w:tcPr>
          <w:p w14:paraId="4109BBB9" w14:textId="27A76ED6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შემცირება</w:t>
            </w:r>
            <w:r w:rsidRPr="004C3B01">
              <w:rPr>
                <w:sz w:val="19"/>
                <w:szCs w:val="19"/>
              </w:rPr>
              <w:t xml:space="preserve"> 5%-</w:t>
            </w:r>
            <w:r w:rsidRPr="004C3B01">
              <w:rPr>
                <w:rFonts w:cs="Sylfaen"/>
                <w:sz w:val="19"/>
                <w:szCs w:val="19"/>
              </w:rPr>
              <w:t>ით</w:t>
            </w:r>
          </w:p>
        </w:tc>
        <w:tc>
          <w:tcPr>
            <w:tcW w:w="1301" w:type="dxa"/>
          </w:tcPr>
          <w:p w14:paraId="2D73900F" w14:textId="121B4A14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cs="Sylfaen"/>
                <w:sz w:val="19"/>
                <w:szCs w:val="19"/>
              </w:rPr>
              <w:t>საქსტატი</w:t>
            </w:r>
            <w:proofErr w:type="spellEnd"/>
            <w:r w:rsidRPr="004C3B01">
              <w:rPr>
                <w:sz w:val="19"/>
                <w:szCs w:val="19"/>
              </w:rPr>
              <w:t xml:space="preserve">, </w:t>
            </w:r>
            <w:proofErr w:type="spellStart"/>
            <w:r w:rsidR="00217A33">
              <w:rPr>
                <w:rFonts w:cs="Sylfaen"/>
                <w:sz w:val="19"/>
                <w:szCs w:val="19"/>
              </w:rPr>
              <w:t>დკსჯეც</w:t>
            </w:r>
            <w:proofErr w:type="spellEnd"/>
          </w:p>
        </w:tc>
      </w:tr>
      <w:tr w:rsidR="0022243A" w:rsidRPr="004C3B01" w14:paraId="0224BD6F" w14:textId="77777777" w:rsidTr="009A1DF2">
        <w:trPr>
          <w:trHeight w:val="18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419AF398" w14:textId="66B6248B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lastRenderedPageBreak/>
              <w:t>2.2</w:t>
            </w:r>
          </w:p>
        </w:tc>
        <w:tc>
          <w:tcPr>
            <w:tcW w:w="2063" w:type="dxa"/>
            <w:shd w:val="clear" w:color="auto" w:fill="auto"/>
          </w:tcPr>
          <w:p w14:paraId="707535BD" w14:textId="58940544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ტიპი 2 დიაბეტით გამოწვეული ნაადრევი სიკვდილიანობა 100,000 მოსახლეზე</w:t>
            </w:r>
          </w:p>
        </w:tc>
        <w:tc>
          <w:tcPr>
            <w:tcW w:w="3375" w:type="dxa"/>
          </w:tcPr>
          <w:p w14:paraId="5B9B8879" w14:textId="404AB5DE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ტიპი 2 დიაბეტით გამოწვეული სიკვდილიანობის ალბათობა 30-დან 70 წლამდე ასაკში.</w:t>
            </w:r>
          </w:p>
        </w:tc>
        <w:tc>
          <w:tcPr>
            <w:tcW w:w="3826" w:type="dxa"/>
          </w:tcPr>
          <w:p w14:paraId="0D2FCE8F" w14:textId="77777777" w:rsidR="0022243A" w:rsidRPr="004C3B01" w:rsidRDefault="0022243A" w:rsidP="004C3B01">
            <w:pPr>
              <w:spacing w:before="4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მრიცხველი: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ტიპი 2 დიაბეტით </w:t>
            </w:r>
            <w:r w:rsidRPr="004C3B01">
              <w:rPr>
                <w:sz w:val="19"/>
                <w:szCs w:val="19"/>
              </w:rPr>
              <w:t>გამოწვეული საერთო სიკვდილიანობა 30-70 წლის ასაკობრივ ჯგუფში</w:t>
            </w:r>
          </w:p>
          <w:p w14:paraId="7E13ED4E" w14:textId="77777777" w:rsidR="0022243A" w:rsidRPr="004C3B01" w:rsidRDefault="0022243A" w:rsidP="004C3B01">
            <w:pPr>
              <w:spacing w:before="4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მნიშვნელი: </w:t>
            </w:r>
            <w:r w:rsidRPr="004C3B01">
              <w:rPr>
                <w:sz w:val="19"/>
                <w:szCs w:val="19"/>
              </w:rPr>
              <w:t>30-70 წლის ასაკის ადამიანთა საერთო რ-ბა  x 100,000</w:t>
            </w:r>
          </w:p>
          <w:p w14:paraId="483CCEE2" w14:textId="5D83D3BA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ასაკი, სქესი</w:t>
            </w:r>
          </w:p>
        </w:tc>
        <w:tc>
          <w:tcPr>
            <w:tcW w:w="1869" w:type="dxa"/>
            <w:shd w:val="clear" w:color="auto" w:fill="auto"/>
          </w:tcPr>
          <w:p w14:paraId="38C820FB" w14:textId="2B7D8185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14.6 (2023)</w:t>
            </w:r>
          </w:p>
        </w:tc>
        <w:tc>
          <w:tcPr>
            <w:tcW w:w="1404" w:type="dxa"/>
            <w:shd w:val="clear" w:color="auto" w:fill="auto"/>
          </w:tcPr>
          <w:p w14:paraId="70A615F9" w14:textId="08DE90B4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შემცირება</w:t>
            </w:r>
            <w:r w:rsidRPr="004C3B01">
              <w:rPr>
                <w:sz w:val="19"/>
                <w:szCs w:val="19"/>
              </w:rPr>
              <w:t xml:space="preserve"> 2%-</w:t>
            </w:r>
            <w:r w:rsidRPr="004C3B01">
              <w:rPr>
                <w:rFonts w:cs="Sylfaen"/>
                <w:sz w:val="19"/>
                <w:szCs w:val="19"/>
              </w:rPr>
              <w:t>ით</w:t>
            </w:r>
          </w:p>
        </w:tc>
        <w:tc>
          <w:tcPr>
            <w:tcW w:w="1440" w:type="dxa"/>
            <w:shd w:val="clear" w:color="auto" w:fill="auto"/>
          </w:tcPr>
          <w:p w14:paraId="2EA5D4AA" w14:textId="5D620482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შემცირება</w:t>
            </w:r>
            <w:r w:rsidRPr="004C3B01">
              <w:rPr>
                <w:sz w:val="19"/>
                <w:szCs w:val="19"/>
              </w:rPr>
              <w:t xml:space="preserve"> 5%-</w:t>
            </w:r>
            <w:r w:rsidRPr="004C3B01">
              <w:rPr>
                <w:rFonts w:cs="Sylfaen"/>
                <w:sz w:val="19"/>
                <w:szCs w:val="19"/>
              </w:rPr>
              <w:t>ით</w:t>
            </w:r>
          </w:p>
        </w:tc>
        <w:tc>
          <w:tcPr>
            <w:tcW w:w="1301" w:type="dxa"/>
          </w:tcPr>
          <w:p w14:paraId="2ADC441E" w14:textId="59719683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cs="Sylfaen"/>
                <w:sz w:val="19"/>
                <w:szCs w:val="19"/>
              </w:rPr>
              <w:t>საქსტატი</w:t>
            </w:r>
            <w:proofErr w:type="spellEnd"/>
            <w:r w:rsidRPr="004C3B01">
              <w:rPr>
                <w:sz w:val="19"/>
                <w:szCs w:val="19"/>
              </w:rPr>
              <w:t xml:space="preserve">, </w:t>
            </w:r>
            <w:proofErr w:type="spellStart"/>
            <w:r w:rsidR="00217A33">
              <w:rPr>
                <w:rFonts w:cs="Sylfaen"/>
                <w:sz w:val="19"/>
                <w:szCs w:val="19"/>
              </w:rPr>
              <w:t>დკსჯეც</w:t>
            </w:r>
            <w:proofErr w:type="spellEnd"/>
          </w:p>
        </w:tc>
      </w:tr>
      <w:tr w:rsidR="0022243A" w:rsidRPr="004C3B01" w14:paraId="7D818EEF" w14:textId="77777777" w:rsidTr="009A1DF2">
        <w:trPr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768052E9" w14:textId="73339951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2.3</w:t>
            </w:r>
          </w:p>
        </w:tc>
        <w:tc>
          <w:tcPr>
            <w:tcW w:w="2063" w:type="dxa"/>
            <w:shd w:val="clear" w:color="auto" w:fill="auto"/>
          </w:tcPr>
          <w:p w14:paraId="7802F158" w14:textId="707FEBA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ქრონიკული  რესპირატორული დაავადებებით გამოწვეული ნაადრევი სიკვდილიანობა 100,000 მოსახლეზე</w:t>
            </w:r>
          </w:p>
        </w:tc>
        <w:tc>
          <w:tcPr>
            <w:tcW w:w="3375" w:type="dxa"/>
          </w:tcPr>
          <w:p w14:paraId="23F1B502" w14:textId="213A4739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ქრონიკული  რესპირატორული დაავადებებით გამოწვეული სიკვდილიანობის ალბათობა 30-დან 70 წლამდე ასაკში.</w:t>
            </w:r>
          </w:p>
        </w:tc>
        <w:tc>
          <w:tcPr>
            <w:tcW w:w="3826" w:type="dxa"/>
          </w:tcPr>
          <w:p w14:paraId="53CB0E34" w14:textId="77777777" w:rsidR="0022243A" w:rsidRPr="004C3B01" w:rsidRDefault="0022243A" w:rsidP="004C3B01">
            <w:pPr>
              <w:spacing w:before="4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მრიცხველი: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ქრონიკული რესპირატორული დაავადებებით </w:t>
            </w:r>
            <w:r w:rsidRPr="004C3B01">
              <w:rPr>
                <w:sz w:val="19"/>
                <w:szCs w:val="19"/>
              </w:rPr>
              <w:t>გამოწვეული საერთო სიკვდილიანობა 30-70 წლის ასაკობრივ ჯგუფში</w:t>
            </w:r>
          </w:p>
          <w:p w14:paraId="2FECB915" w14:textId="77777777" w:rsidR="0022243A" w:rsidRPr="004C3B01" w:rsidRDefault="0022243A" w:rsidP="004C3B01">
            <w:pPr>
              <w:spacing w:before="4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მნიშვნელი: </w:t>
            </w:r>
            <w:r w:rsidRPr="004C3B01">
              <w:rPr>
                <w:sz w:val="19"/>
                <w:szCs w:val="19"/>
              </w:rPr>
              <w:t>30-70 წლის ასაკის ადამიანთა საერთო რ-ბა  x 100,000</w:t>
            </w:r>
          </w:p>
          <w:p w14:paraId="132A3A15" w14:textId="27852C74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ასაკი, სქესი</w:t>
            </w:r>
          </w:p>
        </w:tc>
        <w:tc>
          <w:tcPr>
            <w:tcW w:w="1869" w:type="dxa"/>
            <w:shd w:val="clear" w:color="auto" w:fill="auto"/>
          </w:tcPr>
          <w:p w14:paraId="4B6960CE" w14:textId="5A1CA40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3.9 (2023)</w:t>
            </w:r>
          </w:p>
        </w:tc>
        <w:tc>
          <w:tcPr>
            <w:tcW w:w="1404" w:type="dxa"/>
            <w:shd w:val="clear" w:color="auto" w:fill="auto"/>
          </w:tcPr>
          <w:p w14:paraId="24B398AD" w14:textId="17CD90A3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შემცირება</w:t>
            </w:r>
            <w:r w:rsidRPr="004C3B01">
              <w:rPr>
                <w:sz w:val="19"/>
                <w:szCs w:val="19"/>
              </w:rPr>
              <w:t xml:space="preserve"> 2%-</w:t>
            </w:r>
            <w:r w:rsidRPr="004C3B01">
              <w:rPr>
                <w:rFonts w:cs="Sylfaen"/>
                <w:sz w:val="19"/>
                <w:szCs w:val="19"/>
              </w:rPr>
              <w:t>ით</w:t>
            </w:r>
          </w:p>
        </w:tc>
        <w:tc>
          <w:tcPr>
            <w:tcW w:w="1440" w:type="dxa"/>
            <w:shd w:val="clear" w:color="auto" w:fill="auto"/>
          </w:tcPr>
          <w:p w14:paraId="18F4F686" w14:textId="44328CDD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შემცირება</w:t>
            </w:r>
            <w:r w:rsidRPr="004C3B01">
              <w:rPr>
                <w:sz w:val="19"/>
                <w:szCs w:val="19"/>
              </w:rPr>
              <w:t xml:space="preserve"> 5%-</w:t>
            </w:r>
            <w:r w:rsidRPr="004C3B01">
              <w:rPr>
                <w:rFonts w:cs="Sylfaen"/>
                <w:sz w:val="19"/>
                <w:szCs w:val="19"/>
              </w:rPr>
              <w:t>ით</w:t>
            </w:r>
          </w:p>
        </w:tc>
        <w:tc>
          <w:tcPr>
            <w:tcW w:w="1301" w:type="dxa"/>
          </w:tcPr>
          <w:p w14:paraId="08A225B6" w14:textId="4786293A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cs="Sylfaen"/>
                <w:sz w:val="19"/>
                <w:szCs w:val="19"/>
              </w:rPr>
              <w:t>საქსტატი</w:t>
            </w:r>
            <w:proofErr w:type="spellEnd"/>
            <w:r w:rsidRPr="004C3B01">
              <w:rPr>
                <w:sz w:val="19"/>
                <w:szCs w:val="19"/>
              </w:rPr>
              <w:t xml:space="preserve">, </w:t>
            </w:r>
            <w:proofErr w:type="spellStart"/>
            <w:r w:rsidR="00217A33">
              <w:rPr>
                <w:rFonts w:cs="Sylfaen"/>
                <w:sz w:val="19"/>
                <w:szCs w:val="19"/>
              </w:rPr>
              <w:t>დკსჯეც</w:t>
            </w:r>
            <w:proofErr w:type="spellEnd"/>
          </w:p>
        </w:tc>
      </w:tr>
      <w:tr w:rsidR="0022243A" w:rsidRPr="004C3B01" w14:paraId="5D580CC9" w14:textId="77777777" w:rsidTr="009A1DF2">
        <w:trPr>
          <w:trHeight w:val="2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0CA485B4" w14:textId="20BB4986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2.4</w:t>
            </w:r>
          </w:p>
        </w:tc>
        <w:tc>
          <w:tcPr>
            <w:tcW w:w="2063" w:type="dxa"/>
            <w:shd w:val="clear" w:color="auto" w:fill="auto"/>
          </w:tcPr>
          <w:p w14:paraId="67CD5D77" w14:textId="33F9AE6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ონკოლოგიური დაავადებებით გამოწვეული სიკვდილიანობა 100,000 მოსახლეზე</w:t>
            </w:r>
          </w:p>
        </w:tc>
        <w:tc>
          <w:tcPr>
            <w:tcW w:w="3375" w:type="dxa"/>
          </w:tcPr>
          <w:p w14:paraId="4C878B2D" w14:textId="3B071F1B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ონკოლოგიური დაავადებებით გამოწვეული სიკვდილიანობის ალბათობა 30-დან 70 წლამდე ასაკში.</w:t>
            </w:r>
          </w:p>
        </w:tc>
        <w:tc>
          <w:tcPr>
            <w:tcW w:w="3826" w:type="dxa"/>
          </w:tcPr>
          <w:p w14:paraId="1B4114CB" w14:textId="77777777" w:rsidR="0022243A" w:rsidRPr="004C3B01" w:rsidRDefault="0022243A" w:rsidP="004C3B01">
            <w:pPr>
              <w:spacing w:before="4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მრიცხველი: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ონკოლოგიური დაავადებებით </w:t>
            </w:r>
            <w:r w:rsidRPr="004C3B01">
              <w:rPr>
                <w:sz w:val="19"/>
                <w:szCs w:val="19"/>
              </w:rPr>
              <w:t>გამოწვეული საერთო სიკვდილიანობა 30-70 წლის ასაკობრივ ჯგუფში</w:t>
            </w:r>
          </w:p>
          <w:p w14:paraId="2AC77C40" w14:textId="77777777" w:rsidR="0022243A" w:rsidRPr="004C3B01" w:rsidRDefault="0022243A" w:rsidP="004C3B01">
            <w:pPr>
              <w:spacing w:before="4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მნიშვნელი: </w:t>
            </w:r>
            <w:r w:rsidRPr="004C3B01">
              <w:rPr>
                <w:sz w:val="19"/>
                <w:szCs w:val="19"/>
              </w:rPr>
              <w:t>30-70 წლის ასაკის ადამიანთა საერთო რ-ბა  x 100,000</w:t>
            </w:r>
          </w:p>
          <w:p w14:paraId="37689720" w14:textId="41F6682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ასაკი, სქესი</w:t>
            </w:r>
          </w:p>
        </w:tc>
        <w:tc>
          <w:tcPr>
            <w:tcW w:w="1869" w:type="dxa"/>
            <w:shd w:val="clear" w:color="auto" w:fill="auto"/>
          </w:tcPr>
          <w:p w14:paraId="71B31A7C" w14:textId="5D71F56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125.3 (2023)</w:t>
            </w:r>
          </w:p>
        </w:tc>
        <w:tc>
          <w:tcPr>
            <w:tcW w:w="1404" w:type="dxa"/>
            <w:shd w:val="clear" w:color="auto" w:fill="auto"/>
          </w:tcPr>
          <w:p w14:paraId="7F0BFACF" w14:textId="77DF5FE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შემცირება</w:t>
            </w:r>
            <w:r w:rsidRPr="004C3B01">
              <w:rPr>
                <w:sz w:val="19"/>
                <w:szCs w:val="19"/>
              </w:rPr>
              <w:t xml:space="preserve"> 2%-</w:t>
            </w:r>
            <w:r w:rsidRPr="004C3B01">
              <w:rPr>
                <w:rFonts w:cs="Sylfaen"/>
                <w:sz w:val="19"/>
                <w:szCs w:val="19"/>
              </w:rPr>
              <w:t>ით</w:t>
            </w:r>
          </w:p>
        </w:tc>
        <w:tc>
          <w:tcPr>
            <w:tcW w:w="1440" w:type="dxa"/>
            <w:shd w:val="clear" w:color="auto" w:fill="auto"/>
          </w:tcPr>
          <w:p w14:paraId="09A1C978" w14:textId="4F6E2C2E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შემცირება</w:t>
            </w:r>
            <w:r w:rsidRPr="004C3B01">
              <w:rPr>
                <w:sz w:val="19"/>
                <w:szCs w:val="19"/>
              </w:rPr>
              <w:t xml:space="preserve"> 5%-</w:t>
            </w:r>
            <w:r w:rsidRPr="004C3B01">
              <w:rPr>
                <w:rFonts w:cs="Sylfaen"/>
                <w:sz w:val="19"/>
                <w:szCs w:val="19"/>
              </w:rPr>
              <w:t>ით</w:t>
            </w:r>
          </w:p>
        </w:tc>
        <w:tc>
          <w:tcPr>
            <w:tcW w:w="1301" w:type="dxa"/>
          </w:tcPr>
          <w:p w14:paraId="1EBAB439" w14:textId="72CBF046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cs="Sylfaen"/>
                <w:sz w:val="19"/>
                <w:szCs w:val="19"/>
              </w:rPr>
              <w:t>საქსტატი</w:t>
            </w:r>
            <w:proofErr w:type="spellEnd"/>
            <w:r w:rsidRPr="004C3B01">
              <w:rPr>
                <w:sz w:val="19"/>
                <w:szCs w:val="19"/>
              </w:rPr>
              <w:t xml:space="preserve">, </w:t>
            </w:r>
            <w:proofErr w:type="spellStart"/>
            <w:r w:rsidR="00217A33">
              <w:rPr>
                <w:rFonts w:cs="Sylfaen"/>
                <w:sz w:val="19"/>
                <w:szCs w:val="19"/>
              </w:rPr>
              <w:t>დკსჯეც</w:t>
            </w:r>
            <w:proofErr w:type="spellEnd"/>
          </w:p>
        </w:tc>
      </w:tr>
      <w:tr w:rsidR="0022243A" w:rsidRPr="004C3B01" w14:paraId="0E8E6875" w14:textId="77777777" w:rsidTr="004C3B01">
        <w:trPr>
          <w:trHeight w:val="6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7CD5C44A" w14:textId="4C005998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3</w:t>
            </w:r>
          </w:p>
        </w:tc>
        <w:tc>
          <w:tcPr>
            <w:tcW w:w="2063" w:type="dxa"/>
            <w:shd w:val="clear" w:color="auto" w:fill="auto"/>
          </w:tcPr>
          <w:p w14:paraId="751B7696" w14:textId="1EAA0D8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პოპულაციის წილი, რომლებიც განიცდიან კატასტროფულ დანახარჯებს ჯანდაცვაზე</w:t>
            </w:r>
          </w:p>
        </w:tc>
        <w:tc>
          <w:tcPr>
            <w:tcW w:w="3375" w:type="dxa"/>
          </w:tcPr>
          <w:p w14:paraId="081CE74E" w14:textId="797088D8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შინამეურნეობების რაოდენობა, </w:t>
            </w:r>
            <w:r w:rsidR="00326AAF" w:rsidRPr="004C3B01">
              <w:rPr>
                <w:rFonts w:eastAsia="Times New Roman" w:cs="Sylfaen"/>
                <w:sz w:val="19"/>
                <w:szCs w:val="19"/>
                <w:lang w:eastAsia="en-GB"/>
              </w:rPr>
              <w:t>რომ</w:t>
            </w:r>
            <w:r w:rsidR="00326AAF">
              <w:rPr>
                <w:rFonts w:eastAsia="Times New Roman" w:cs="Sylfaen"/>
                <w:sz w:val="19"/>
                <w:szCs w:val="19"/>
                <w:lang w:eastAsia="en-GB"/>
              </w:rPr>
              <w:t xml:space="preserve">ელთა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ჯანდაცვაზე </w:t>
            </w:r>
            <w:r w:rsidR="00326AAF">
              <w:rPr>
                <w:rFonts w:eastAsia="Times New Roman" w:cs="Sylfaen"/>
                <w:sz w:val="19"/>
                <w:szCs w:val="19"/>
                <w:lang w:eastAsia="en-GB"/>
              </w:rPr>
              <w:t xml:space="preserve">დანახარჯების ხვედრითი წილი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მთლიანი დანახარჯი</w:t>
            </w:r>
            <w:r w:rsidR="00326AAF">
              <w:rPr>
                <w:rFonts w:eastAsia="Times New Roman" w:cs="Sylfaen"/>
                <w:sz w:val="19"/>
                <w:szCs w:val="19"/>
                <w:lang w:eastAsia="en-GB"/>
              </w:rPr>
              <w:t>ს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10% </w:t>
            </w:r>
            <w:r w:rsidR="00326AAF">
              <w:rPr>
                <w:rFonts w:eastAsia="Times New Roman" w:cs="Sylfaen"/>
                <w:sz w:val="19"/>
                <w:szCs w:val="19"/>
                <w:lang w:eastAsia="en-GB"/>
              </w:rPr>
              <w:t>და მეტს შეადგენს</w:t>
            </w:r>
          </w:p>
          <w:p w14:paraId="39A1406B" w14:textId="5D3D403C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აფასებს ჯანდაცვის სისტემის მიზანს უზრუნველყოს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lastRenderedPageBreak/>
              <w:t>მოსახლეობის ფინანსური დაცულობა</w:t>
            </w:r>
          </w:p>
        </w:tc>
        <w:tc>
          <w:tcPr>
            <w:tcW w:w="3826" w:type="dxa"/>
          </w:tcPr>
          <w:p w14:paraId="49B175ED" w14:textId="006DCE5D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lastRenderedPageBreak/>
              <w:t>მრიცხველი: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შინამეურნეობის ჯანდაცვაზე დანახარჯი</w:t>
            </w:r>
          </w:p>
          <w:p w14:paraId="56BED268" w14:textId="0244332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შინამეურნეობის მთლიანი დანახარჯი</w:t>
            </w:r>
          </w:p>
          <w:p w14:paraId="719AC741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სქესი, ასაკი: 18-39; 40-49; 50-59; 60-69; 70-75"</w:t>
            </w:r>
          </w:p>
        </w:tc>
        <w:tc>
          <w:tcPr>
            <w:tcW w:w="1869" w:type="dxa"/>
            <w:shd w:val="clear" w:color="auto" w:fill="auto"/>
          </w:tcPr>
          <w:p w14:paraId="420AF5D1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22% (2021)</w:t>
            </w:r>
          </w:p>
        </w:tc>
        <w:tc>
          <w:tcPr>
            <w:tcW w:w="1404" w:type="dxa"/>
            <w:shd w:val="clear" w:color="auto" w:fill="auto"/>
          </w:tcPr>
          <w:p w14:paraId="3985189C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შემცირება 5%-ით</w:t>
            </w:r>
          </w:p>
        </w:tc>
        <w:tc>
          <w:tcPr>
            <w:tcW w:w="1440" w:type="dxa"/>
            <w:shd w:val="clear" w:color="auto" w:fill="auto"/>
          </w:tcPr>
          <w:p w14:paraId="420DEFAA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შემცირება 10%-ით</w:t>
            </w:r>
          </w:p>
        </w:tc>
        <w:tc>
          <w:tcPr>
            <w:tcW w:w="1301" w:type="dxa"/>
          </w:tcPr>
          <w:p w14:paraId="0EFD6A6A" w14:textId="32FEC20D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საქსტატი</w:t>
            </w:r>
            <w:proofErr w:type="spellEnd"/>
          </w:p>
        </w:tc>
      </w:tr>
      <w:tr w:rsidR="0022243A" w:rsidRPr="004C3B01" w14:paraId="1AEE781E" w14:textId="77777777" w:rsidTr="009A1DF2">
        <w:trPr>
          <w:trHeight w:val="1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151C1B51" w14:textId="29E9FF0B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4.1</w:t>
            </w:r>
          </w:p>
        </w:tc>
        <w:tc>
          <w:tcPr>
            <w:tcW w:w="2063" w:type="dxa"/>
            <w:shd w:val="clear" w:color="auto" w:fill="auto"/>
          </w:tcPr>
          <w:p w14:paraId="34C8A086" w14:textId="4BBF63F4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ამბულატორიულად მართვადი დაავადებებით ჰოსპიტალიზაციის მაჩვენებელი 100,000 მოსახლეზე -სტენოკარდია</w:t>
            </w:r>
          </w:p>
        </w:tc>
        <w:tc>
          <w:tcPr>
            <w:tcW w:w="3375" w:type="dxa"/>
          </w:tcPr>
          <w:p w14:paraId="0FC30921" w14:textId="05ABF3E4" w:rsidR="0022243A" w:rsidRPr="004C3B01" w:rsidRDefault="00326AAF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>
              <w:rPr>
                <w:rFonts w:eastAsia="Times New Roman" w:cs="Sylfaen"/>
                <w:sz w:val="19"/>
                <w:szCs w:val="19"/>
                <w:lang w:eastAsia="en-GB"/>
              </w:rPr>
              <w:t>სტენოკარდიით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 </w:t>
            </w:r>
            <w:r w:rsidR="0022243A"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დაავადებულ 18-75 წლის პირებში სტენოკარდიის გამო ჰოსპიტალიზებულთა </w:t>
            </w:r>
            <w:r w:rsidR="00C34345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ან</w:t>
            </w:r>
            <w:r w:rsidR="00C34345"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r w:rsidR="0022243A" w:rsidRPr="004C3B01">
              <w:rPr>
                <w:rFonts w:eastAsia="Times New Roman" w:cs="Sylfaen"/>
                <w:sz w:val="19"/>
                <w:szCs w:val="19"/>
                <w:lang w:eastAsia="en-GB"/>
              </w:rPr>
              <w:t>გადაუდებელი დახმარების საჭიროების მქონე პირთა პროცენტული მაჩვენებელი</w:t>
            </w:r>
          </w:p>
        </w:tc>
        <w:tc>
          <w:tcPr>
            <w:tcW w:w="3826" w:type="dxa"/>
          </w:tcPr>
          <w:p w14:paraId="5E53FEC5" w14:textId="30B836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მრიცხველი:  </w:t>
            </w:r>
            <w:r w:rsidR="00326AAF">
              <w:rPr>
                <w:rFonts w:eastAsia="Times New Roman" w:cs="Calibri"/>
                <w:sz w:val="19"/>
                <w:szCs w:val="19"/>
                <w:lang w:eastAsia="en-GB"/>
              </w:rPr>
              <w:t>სტენოკარდიით</w:t>
            </w:r>
            <w:r w:rsidR="00326AAF"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დაავადებულ 18-75  წლის პირთა რაოდენობა, რომელთა ჰოსპიტალიზაცია ან გადაუდებელი დახმარება განხორციელდა შემდეგი ნოზოლოგიების გამო :</w:t>
            </w:r>
          </w:p>
          <w:p w14:paraId="5761A614" w14:textId="260E3565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I20, I24</w:t>
            </w:r>
            <w:r w:rsidR="00326AAF">
              <w:rPr>
                <w:rFonts w:eastAsia="Times New Roman" w:cs="Calibri"/>
                <w:sz w:val="19"/>
                <w:szCs w:val="19"/>
                <w:lang w:eastAsia="en-GB"/>
              </w:rPr>
              <w:t>.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0, I24</w:t>
            </w:r>
            <w:r w:rsidR="00326AAF">
              <w:rPr>
                <w:rFonts w:eastAsia="Times New Roman" w:cs="Calibri"/>
                <w:sz w:val="19"/>
                <w:szCs w:val="19"/>
                <w:lang w:eastAsia="en-GB"/>
              </w:rPr>
              <w:t>.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8, I24</w:t>
            </w:r>
            <w:r w:rsidR="00326AAF">
              <w:rPr>
                <w:rFonts w:eastAsia="Times New Roman" w:cs="Calibri"/>
                <w:sz w:val="19"/>
                <w:szCs w:val="19"/>
                <w:lang w:eastAsia="en-GB"/>
              </w:rPr>
              <w:t>.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9 </w:t>
            </w:r>
          </w:p>
          <w:p w14:paraId="59AEEC8B" w14:textId="4442CE1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მნიშვნელი: </w:t>
            </w:r>
            <w:r w:rsidR="00326AAF">
              <w:rPr>
                <w:rFonts w:eastAsia="Times New Roman" w:cs="Calibri"/>
                <w:sz w:val="19"/>
                <w:szCs w:val="19"/>
                <w:lang w:eastAsia="en-GB"/>
              </w:rPr>
              <w:t>სტენოკარდიის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მქონე დაავადებულ პირთა რეესტრში შესული 18-75  წლის ადამიანების რა-ბა ანგარიშგების პერიოდისთვის.  X 100</w:t>
            </w:r>
          </w:p>
          <w:p w14:paraId="36ED136C" w14:textId="26B58875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სქესი,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პროვაიდერი, ასაკი: 18-39; 40-49; 50-59; 60-69; 70-75</w:t>
            </w:r>
          </w:p>
        </w:tc>
        <w:tc>
          <w:tcPr>
            <w:tcW w:w="1869" w:type="dxa"/>
            <w:shd w:val="clear" w:color="auto" w:fill="auto"/>
          </w:tcPr>
          <w:p w14:paraId="06C0EC6D" w14:textId="77777777" w:rsidR="0022243A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100,000 მოსახლეზე - 849.8</w:t>
            </w:r>
            <w:r w:rsidR="00CF75C6">
              <w:rPr>
                <w:sz w:val="19"/>
                <w:szCs w:val="19"/>
              </w:rPr>
              <w:t xml:space="preserve"> ზოგად მოსახლეობაში</w:t>
            </w:r>
          </w:p>
          <w:p w14:paraId="56488F5A" w14:textId="77777777" w:rsidR="00CF75C6" w:rsidRDefault="00CF75C6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</w:p>
          <w:p w14:paraId="2B45C95C" w14:textId="0BB6416F" w:rsidR="00CF75C6" w:rsidRPr="004C3B01" w:rsidRDefault="00CF75C6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>
              <w:rPr>
                <w:sz w:val="19"/>
                <w:szCs w:val="19"/>
              </w:rPr>
              <w:t xml:space="preserve">სამიზნე მოსახლეობაში მაჩვენებელი </w:t>
            </w:r>
            <w:proofErr w:type="spellStart"/>
            <w:r>
              <w:rPr>
                <w:sz w:val="19"/>
                <w:szCs w:val="19"/>
              </w:rPr>
              <w:t>დაგენერირდება</w:t>
            </w:r>
            <w:proofErr w:type="spellEnd"/>
            <w:r>
              <w:rPr>
                <w:sz w:val="19"/>
                <w:szCs w:val="19"/>
              </w:rPr>
              <w:t xml:space="preserve"> ინფორმაციის შეგროვების შედეგად</w:t>
            </w:r>
          </w:p>
        </w:tc>
        <w:tc>
          <w:tcPr>
            <w:tcW w:w="1404" w:type="dxa"/>
            <w:shd w:val="clear" w:color="auto" w:fill="auto"/>
          </w:tcPr>
          <w:p w14:paraId="4E7CDD99" w14:textId="67EE8E3A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შემცირება</w:t>
            </w:r>
            <w:r w:rsidRPr="004C3B01">
              <w:rPr>
                <w:sz w:val="19"/>
                <w:szCs w:val="19"/>
              </w:rPr>
              <w:t xml:space="preserve"> 10%-</w:t>
            </w:r>
            <w:r w:rsidRPr="004C3B01">
              <w:rPr>
                <w:rFonts w:cs="Sylfaen"/>
                <w:sz w:val="19"/>
                <w:szCs w:val="19"/>
              </w:rPr>
              <w:t>ით</w:t>
            </w:r>
          </w:p>
        </w:tc>
        <w:tc>
          <w:tcPr>
            <w:tcW w:w="1440" w:type="dxa"/>
            <w:shd w:val="clear" w:color="auto" w:fill="auto"/>
          </w:tcPr>
          <w:p w14:paraId="1CF59B6F" w14:textId="45D33AFC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შემცირება</w:t>
            </w:r>
            <w:r w:rsidRPr="004C3B01">
              <w:rPr>
                <w:sz w:val="19"/>
                <w:szCs w:val="19"/>
              </w:rPr>
              <w:t xml:space="preserve"> 20%-</w:t>
            </w:r>
            <w:r w:rsidRPr="004C3B01">
              <w:rPr>
                <w:rFonts w:cs="Sylfaen"/>
                <w:sz w:val="19"/>
                <w:szCs w:val="19"/>
              </w:rPr>
              <w:t>ით</w:t>
            </w:r>
          </w:p>
        </w:tc>
        <w:tc>
          <w:tcPr>
            <w:tcW w:w="1301" w:type="dxa"/>
          </w:tcPr>
          <w:p w14:paraId="61423800" w14:textId="32BBAF48" w:rsidR="0022243A" w:rsidRPr="004C3B01" w:rsidRDefault="00217A3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>
              <w:rPr>
                <w:rFonts w:cs="Sylfaen"/>
                <w:sz w:val="19"/>
                <w:szCs w:val="19"/>
              </w:rPr>
              <w:t>დკსჯეც</w:t>
            </w:r>
            <w:proofErr w:type="spellEnd"/>
            <w:r w:rsidR="0022243A" w:rsidRPr="004C3B01">
              <w:rPr>
                <w:sz w:val="19"/>
                <w:szCs w:val="19"/>
              </w:rPr>
              <w:t xml:space="preserve">, </w:t>
            </w:r>
            <w:proofErr w:type="spellStart"/>
            <w:r w:rsidR="0022243A" w:rsidRPr="004C3B01">
              <w:rPr>
                <w:rFonts w:cs="Sylfaen"/>
                <w:sz w:val="19"/>
                <w:szCs w:val="19"/>
              </w:rPr>
              <w:t>ჯეს</w:t>
            </w:r>
            <w:proofErr w:type="spellEnd"/>
          </w:p>
        </w:tc>
      </w:tr>
      <w:tr w:rsidR="0022243A" w:rsidRPr="004C3B01" w14:paraId="265413D2" w14:textId="77777777" w:rsidTr="004C3B01">
        <w:trPr>
          <w:trHeight w:val="3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1D8BA2FA" w14:textId="40DDB36F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4.2</w:t>
            </w:r>
          </w:p>
        </w:tc>
        <w:tc>
          <w:tcPr>
            <w:tcW w:w="2063" w:type="dxa"/>
            <w:shd w:val="clear" w:color="auto" w:fill="auto"/>
          </w:tcPr>
          <w:p w14:paraId="65B26555" w14:textId="29EB74AC" w:rsidR="0022243A" w:rsidRPr="000A0108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lang w:val="en-US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ამბულატორიულად მართვადი დაავადებებით ჰოსპიტალიზაციის მაჩვენებელი 100,000 მოსახლეზე - გულის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შეგუბებითი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უკმარისობა</w:t>
            </w:r>
          </w:p>
        </w:tc>
        <w:tc>
          <w:tcPr>
            <w:tcW w:w="3375" w:type="dxa"/>
          </w:tcPr>
          <w:p w14:paraId="07E66BE9" w14:textId="51EA6669" w:rsidR="0022243A" w:rsidRPr="004C3B01" w:rsidRDefault="00CE37CD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>
              <w:rPr>
                <w:rFonts w:eastAsia="Times New Roman" w:cs="Sylfaen"/>
                <w:sz w:val="19"/>
                <w:szCs w:val="19"/>
                <w:lang w:eastAsia="en-GB"/>
              </w:rPr>
              <w:t>გულის იშემ</w:t>
            </w:r>
            <w:r w:rsidR="00F835C3">
              <w:rPr>
                <w:rFonts w:eastAsia="Times New Roman" w:cs="Sylfaen"/>
                <w:sz w:val="19"/>
                <w:szCs w:val="19"/>
                <w:lang w:eastAsia="en-GB"/>
              </w:rPr>
              <w:t>ი</w:t>
            </w:r>
            <w:r>
              <w:rPr>
                <w:rFonts w:eastAsia="Times New Roman" w:cs="Sylfaen"/>
                <w:sz w:val="19"/>
                <w:szCs w:val="19"/>
                <w:lang w:eastAsia="en-GB"/>
              </w:rPr>
              <w:t>ური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r>
              <w:rPr>
                <w:rFonts w:eastAsia="Times New Roman" w:cs="Sylfaen"/>
                <w:sz w:val="19"/>
                <w:szCs w:val="19"/>
                <w:lang w:eastAsia="en-GB"/>
              </w:rPr>
              <w:t xml:space="preserve">დაავადების და </w:t>
            </w:r>
            <w:proofErr w:type="spellStart"/>
            <w:r w:rsidR="00C34345">
              <w:rPr>
                <w:rFonts w:eastAsia="Times New Roman" w:cs="Sylfaen"/>
                <w:sz w:val="19"/>
                <w:szCs w:val="19"/>
                <w:lang w:eastAsia="en-GB"/>
              </w:rPr>
              <w:t>ჰიპერტენზიის</w:t>
            </w:r>
            <w:proofErr w:type="spellEnd"/>
            <w:r w:rsidR="00C34345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მქონე </w:t>
            </w:r>
            <w:r w:rsidR="0022243A"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18-75 წლის პირებში გულის </w:t>
            </w:r>
            <w:proofErr w:type="spellStart"/>
            <w:r w:rsidR="0022243A" w:rsidRPr="004C3B01">
              <w:rPr>
                <w:rFonts w:eastAsia="Times New Roman" w:cs="Sylfaen"/>
                <w:sz w:val="19"/>
                <w:szCs w:val="19"/>
                <w:lang w:eastAsia="en-GB"/>
              </w:rPr>
              <w:t>შეგუბებითი</w:t>
            </w:r>
            <w:proofErr w:type="spellEnd"/>
            <w:r w:rsidR="0022243A"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უკმარისობის გამო ჰოსპიტალიზებულთა </w:t>
            </w:r>
            <w:r w:rsidR="00C34345">
              <w:rPr>
                <w:rFonts w:eastAsia="Times New Roman" w:cs="Sylfaen"/>
                <w:sz w:val="19"/>
                <w:szCs w:val="19"/>
                <w:lang w:eastAsia="en-GB"/>
              </w:rPr>
              <w:t>ან</w:t>
            </w:r>
            <w:r w:rsidR="00C34345"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r w:rsidR="0022243A" w:rsidRPr="004C3B01">
              <w:rPr>
                <w:rFonts w:eastAsia="Times New Roman" w:cs="Sylfaen"/>
                <w:sz w:val="19"/>
                <w:szCs w:val="19"/>
                <w:lang w:eastAsia="en-GB"/>
              </w:rPr>
              <w:t>გადაუდებელი დახმარების საჭიროების მქონე პირთა პროცენტული მაჩვენებელი</w:t>
            </w:r>
          </w:p>
        </w:tc>
        <w:tc>
          <w:tcPr>
            <w:tcW w:w="3826" w:type="dxa"/>
          </w:tcPr>
          <w:p w14:paraId="7F4DE86F" w14:textId="1FB99FCB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მრიცხველი: 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გ</w:t>
            </w:r>
            <w:r w:rsidR="00E4398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ულის </w:t>
            </w:r>
            <w:proofErr w:type="spellStart"/>
            <w:r w:rsidR="00E43981">
              <w:rPr>
                <w:rFonts w:eastAsia="Times New Roman" w:cs="Calibri"/>
                <w:sz w:val="19"/>
                <w:szCs w:val="19"/>
                <w:lang w:eastAsia="en-GB"/>
              </w:rPr>
              <w:t>შეგუბებითი</w:t>
            </w:r>
            <w:proofErr w:type="spellEnd"/>
            <w:r w:rsidR="00E4398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უკმარისობ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ით  დაავადებულ 18-75  წლის პირთა რაოდენობა, რომელთა ჰოსპიტალიზაცია ან გადაუდებელი დახმარება განხორციელდა შემდეგი ნოზოლოგიების გამო:</w:t>
            </w:r>
          </w:p>
          <w:p w14:paraId="6D60D7D2" w14:textId="45C41866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I50, I11</w:t>
            </w:r>
            <w:r w:rsidR="00A409BE">
              <w:rPr>
                <w:rFonts w:eastAsia="Times New Roman" w:cs="Calibri"/>
                <w:sz w:val="19"/>
                <w:szCs w:val="19"/>
                <w:lang w:val="en-US" w:eastAsia="en-GB"/>
              </w:rPr>
              <w:t>.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0, </w:t>
            </w:r>
          </w:p>
          <w:p w14:paraId="5CB89C12" w14:textId="0EE8DBCC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="00CE37CD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 </w:t>
            </w:r>
            <w:r w:rsidR="00CE37CD" w:rsidRPr="004C3B01">
              <w:rPr>
                <w:rFonts w:eastAsia="Times New Roman" w:cs="Calibri"/>
                <w:sz w:val="19"/>
                <w:szCs w:val="19"/>
                <w:lang w:eastAsia="en-GB"/>
              </w:rPr>
              <w:t>გ</w:t>
            </w:r>
            <w:r w:rsidR="00CE37CD">
              <w:rPr>
                <w:rFonts w:eastAsia="Times New Roman" w:cs="Calibri"/>
                <w:sz w:val="19"/>
                <w:szCs w:val="19"/>
                <w:lang w:eastAsia="en-GB"/>
              </w:rPr>
              <w:t>ულის იშემიური დაავადების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="00300723">
              <w:rPr>
                <w:rFonts w:eastAsia="Times New Roman" w:cs="Sylfaen"/>
                <w:sz w:val="19"/>
                <w:szCs w:val="19"/>
                <w:lang w:eastAsia="en-GB"/>
              </w:rPr>
              <w:t>და</w:t>
            </w:r>
            <w:r w:rsidR="00CE37CD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="00CE37CD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ჰიპერტენზიის</w:t>
            </w:r>
            <w:proofErr w:type="spellEnd"/>
            <w:r w:rsidR="00300723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რეესტრ</w:t>
            </w:r>
            <w:r w:rsidR="00300723">
              <w:rPr>
                <w:rFonts w:eastAsia="Times New Roman" w:cs="Calibri"/>
                <w:sz w:val="19"/>
                <w:szCs w:val="19"/>
                <w:lang w:eastAsia="en-GB"/>
              </w:rPr>
              <w:t>ებში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შესული 18-75  წლის ადამიანების რა-ბა ანგარიშგების პერიოდისთვის X 100</w:t>
            </w:r>
          </w:p>
          <w:p w14:paraId="140F2944" w14:textId="314849FD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lastRenderedPageBreak/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სქესი,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პროვაიდერი, ასაკი: 18-39; 40-49; 50-59; 60-69; 70-75</w:t>
            </w:r>
          </w:p>
        </w:tc>
        <w:tc>
          <w:tcPr>
            <w:tcW w:w="1869" w:type="dxa"/>
            <w:shd w:val="clear" w:color="auto" w:fill="auto"/>
          </w:tcPr>
          <w:p w14:paraId="0DEBF7D1" w14:textId="77777777" w:rsidR="0022243A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lastRenderedPageBreak/>
              <w:t xml:space="preserve">100,000 მოსახლეზე - 1,058.6 </w:t>
            </w:r>
            <w:r w:rsidR="00CF75C6">
              <w:rPr>
                <w:sz w:val="19"/>
                <w:szCs w:val="19"/>
              </w:rPr>
              <w:t>ზოგად მოსახლეობაში</w:t>
            </w:r>
          </w:p>
          <w:p w14:paraId="565AF793" w14:textId="77777777" w:rsidR="00CF75C6" w:rsidRDefault="00CF75C6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</w:p>
          <w:p w14:paraId="5B180730" w14:textId="35965ACD" w:rsidR="00CF75C6" w:rsidRPr="004C3B01" w:rsidRDefault="00CF75C6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>
              <w:rPr>
                <w:sz w:val="19"/>
                <w:szCs w:val="19"/>
              </w:rPr>
              <w:t xml:space="preserve">სამიზნე მოსახლეობაში მაჩვენებელი </w:t>
            </w:r>
            <w:proofErr w:type="spellStart"/>
            <w:r>
              <w:rPr>
                <w:sz w:val="19"/>
                <w:szCs w:val="19"/>
              </w:rPr>
              <w:t>დაგენერირდება</w:t>
            </w:r>
            <w:proofErr w:type="spellEnd"/>
            <w:r>
              <w:rPr>
                <w:sz w:val="19"/>
                <w:szCs w:val="19"/>
              </w:rPr>
              <w:t xml:space="preserve"> ინფორმაციის შეგროვების შედეგად</w:t>
            </w:r>
          </w:p>
        </w:tc>
        <w:tc>
          <w:tcPr>
            <w:tcW w:w="1404" w:type="dxa"/>
            <w:shd w:val="clear" w:color="auto" w:fill="auto"/>
          </w:tcPr>
          <w:p w14:paraId="5B57B421" w14:textId="1851DF93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შემცირება</w:t>
            </w:r>
            <w:r w:rsidRPr="004C3B01">
              <w:rPr>
                <w:sz w:val="19"/>
                <w:szCs w:val="19"/>
              </w:rPr>
              <w:t xml:space="preserve"> 10%-</w:t>
            </w:r>
            <w:r w:rsidRPr="004C3B01">
              <w:rPr>
                <w:rFonts w:cs="Sylfaen"/>
                <w:sz w:val="19"/>
                <w:szCs w:val="19"/>
              </w:rPr>
              <w:t>ით</w:t>
            </w:r>
          </w:p>
        </w:tc>
        <w:tc>
          <w:tcPr>
            <w:tcW w:w="1440" w:type="dxa"/>
            <w:shd w:val="clear" w:color="auto" w:fill="auto"/>
          </w:tcPr>
          <w:p w14:paraId="072F81B2" w14:textId="17FACB85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შემცირება</w:t>
            </w:r>
            <w:r w:rsidRPr="004C3B01">
              <w:rPr>
                <w:sz w:val="19"/>
                <w:szCs w:val="19"/>
              </w:rPr>
              <w:t xml:space="preserve"> 20%-</w:t>
            </w:r>
            <w:r w:rsidRPr="004C3B01">
              <w:rPr>
                <w:rFonts w:cs="Sylfaen"/>
                <w:sz w:val="19"/>
                <w:szCs w:val="19"/>
              </w:rPr>
              <w:t>ით</w:t>
            </w:r>
          </w:p>
        </w:tc>
        <w:tc>
          <w:tcPr>
            <w:tcW w:w="1301" w:type="dxa"/>
          </w:tcPr>
          <w:p w14:paraId="61779EDA" w14:textId="680CAE87" w:rsidR="0022243A" w:rsidRPr="004C3B01" w:rsidRDefault="00217A3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>
              <w:rPr>
                <w:rFonts w:cs="Sylfaen"/>
                <w:sz w:val="19"/>
                <w:szCs w:val="19"/>
              </w:rPr>
              <w:t>დკსჯეც</w:t>
            </w:r>
            <w:proofErr w:type="spellEnd"/>
            <w:r w:rsidR="0022243A" w:rsidRPr="004C3B01">
              <w:rPr>
                <w:sz w:val="19"/>
                <w:szCs w:val="19"/>
              </w:rPr>
              <w:t xml:space="preserve">, </w:t>
            </w:r>
            <w:proofErr w:type="spellStart"/>
            <w:r w:rsidR="0022243A" w:rsidRPr="004C3B01">
              <w:rPr>
                <w:rFonts w:cs="Sylfaen"/>
                <w:sz w:val="19"/>
                <w:szCs w:val="19"/>
              </w:rPr>
              <w:t>ჯეს</w:t>
            </w:r>
            <w:proofErr w:type="spellEnd"/>
          </w:p>
        </w:tc>
      </w:tr>
      <w:tr w:rsidR="0022243A" w:rsidRPr="004C3B01" w14:paraId="34195343" w14:textId="77777777" w:rsidTr="00074222">
        <w:trPr>
          <w:trHeight w:val="6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18088F6B" w14:textId="78D71021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4.3</w:t>
            </w:r>
          </w:p>
        </w:tc>
        <w:tc>
          <w:tcPr>
            <w:tcW w:w="2063" w:type="dxa"/>
            <w:shd w:val="clear" w:color="auto" w:fill="auto"/>
          </w:tcPr>
          <w:p w14:paraId="0C3E013D" w14:textId="3746036D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ამბულატორიულად მართვადი დაავადებებით ჰოსპიტალიზაციის მაჩვენებელი 100,000 მოსახლეზე -ფილტვის ქრონიკული ობსტრუქციული დაავადება (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ფქოდ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)</w:t>
            </w:r>
          </w:p>
        </w:tc>
        <w:tc>
          <w:tcPr>
            <w:tcW w:w="3375" w:type="dxa"/>
          </w:tcPr>
          <w:p w14:paraId="41C249C4" w14:textId="1644D350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ფქოდ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-ით  დაავადებულ 18-75 წლის პირებში გართულების გამო ჰოსპიტალიზებულთა </w:t>
            </w:r>
            <w:r w:rsidR="00C34345">
              <w:rPr>
                <w:rFonts w:eastAsia="Times New Roman" w:cs="Sylfaen"/>
                <w:sz w:val="19"/>
                <w:szCs w:val="19"/>
                <w:lang w:eastAsia="en-GB"/>
              </w:rPr>
              <w:t>ან</w:t>
            </w:r>
            <w:r w:rsidR="00C34345"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გადაუდებელი დახმარების საჭიროების მქონე პირთა პროცენტული მაჩვენებელი</w:t>
            </w:r>
          </w:p>
        </w:tc>
        <w:tc>
          <w:tcPr>
            <w:tcW w:w="3826" w:type="dxa"/>
          </w:tcPr>
          <w:p w14:paraId="114C9FD2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მრიცხველი: 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ფქოდ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-ით  დაავადებულ 18-75  წლის პირთა რაოდენობა, რომელთა ჰოსპიტალიზაცია ან გადაუდებელი დახმარება განხორციელდა შემდეგი ნოზოლოგიების გამო  (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Chronic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Obstructive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Pulmonary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Disease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):</w:t>
            </w:r>
          </w:p>
          <w:p w14:paraId="439BF73B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J20, J41–J44, J47</w:t>
            </w:r>
          </w:p>
          <w:p w14:paraId="2FDA7669" w14:textId="14C22092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ფქოდ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-ის მქონე დაავადებულ პირთა რეესტრში შესული 18-75  წლის ადამიანების რა-ბა ანგარიშგების პერიოდისთვის.  X 100</w:t>
            </w:r>
          </w:p>
          <w:p w14:paraId="5F12AAC5" w14:textId="6AFD6C5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სქესი,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პროვაიდერი, ასაკი: 18-39; 40-49; 50-59; 60-69; 70-75</w:t>
            </w:r>
          </w:p>
        </w:tc>
        <w:tc>
          <w:tcPr>
            <w:tcW w:w="1869" w:type="dxa"/>
            <w:shd w:val="clear" w:color="auto" w:fill="auto"/>
          </w:tcPr>
          <w:p w14:paraId="7002376A" w14:textId="77777777" w:rsidR="0022243A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100,000 მოსახლეზე - 214.4</w:t>
            </w:r>
            <w:r w:rsidR="00CF75C6">
              <w:rPr>
                <w:sz w:val="19"/>
                <w:szCs w:val="19"/>
              </w:rPr>
              <w:t xml:space="preserve"> ზოგად მოსახლეობაში</w:t>
            </w:r>
          </w:p>
          <w:p w14:paraId="68332926" w14:textId="77777777" w:rsidR="00CF75C6" w:rsidRDefault="00CF75C6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</w:p>
          <w:p w14:paraId="683AA5C1" w14:textId="39905A21" w:rsidR="00CF75C6" w:rsidRPr="004C3B01" w:rsidRDefault="00CF75C6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>
              <w:rPr>
                <w:sz w:val="19"/>
                <w:szCs w:val="19"/>
              </w:rPr>
              <w:t xml:space="preserve">სამიზნე მოსახლეობაში მაჩვენებელი </w:t>
            </w:r>
            <w:proofErr w:type="spellStart"/>
            <w:r>
              <w:rPr>
                <w:sz w:val="19"/>
                <w:szCs w:val="19"/>
              </w:rPr>
              <w:t>დაგენერირდება</w:t>
            </w:r>
            <w:proofErr w:type="spellEnd"/>
            <w:r>
              <w:rPr>
                <w:sz w:val="19"/>
                <w:szCs w:val="19"/>
              </w:rPr>
              <w:t xml:space="preserve"> ინფორმაციის შეგროვების შედეგად</w:t>
            </w:r>
          </w:p>
        </w:tc>
        <w:tc>
          <w:tcPr>
            <w:tcW w:w="1404" w:type="dxa"/>
            <w:shd w:val="clear" w:color="auto" w:fill="auto"/>
          </w:tcPr>
          <w:p w14:paraId="0080F3F8" w14:textId="21CB2B1A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შემცირება</w:t>
            </w:r>
            <w:r w:rsidRPr="004C3B01">
              <w:rPr>
                <w:sz w:val="19"/>
                <w:szCs w:val="19"/>
              </w:rPr>
              <w:t xml:space="preserve"> 10%-</w:t>
            </w:r>
            <w:r w:rsidRPr="004C3B01">
              <w:rPr>
                <w:rFonts w:cs="Sylfaen"/>
                <w:sz w:val="19"/>
                <w:szCs w:val="19"/>
              </w:rPr>
              <w:t>ით</w:t>
            </w:r>
          </w:p>
        </w:tc>
        <w:tc>
          <w:tcPr>
            <w:tcW w:w="1440" w:type="dxa"/>
            <w:shd w:val="clear" w:color="auto" w:fill="auto"/>
          </w:tcPr>
          <w:p w14:paraId="48348836" w14:textId="0818B03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შემცირება</w:t>
            </w:r>
            <w:r w:rsidRPr="004C3B01">
              <w:rPr>
                <w:sz w:val="19"/>
                <w:szCs w:val="19"/>
              </w:rPr>
              <w:t xml:space="preserve"> 20%-</w:t>
            </w:r>
            <w:r w:rsidRPr="004C3B01">
              <w:rPr>
                <w:rFonts w:cs="Sylfaen"/>
                <w:sz w:val="19"/>
                <w:szCs w:val="19"/>
              </w:rPr>
              <w:t>ით</w:t>
            </w:r>
          </w:p>
        </w:tc>
        <w:tc>
          <w:tcPr>
            <w:tcW w:w="1301" w:type="dxa"/>
          </w:tcPr>
          <w:p w14:paraId="7590224F" w14:textId="41DD1785" w:rsidR="0022243A" w:rsidRPr="004C3B01" w:rsidRDefault="00217A3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>
              <w:rPr>
                <w:rFonts w:cs="Sylfaen"/>
                <w:sz w:val="19"/>
                <w:szCs w:val="19"/>
              </w:rPr>
              <w:t>დკსჯეც</w:t>
            </w:r>
            <w:proofErr w:type="spellEnd"/>
            <w:r w:rsidR="0022243A" w:rsidRPr="004C3B01">
              <w:rPr>
                <w:sz w:val="19"/>
                <w:szCs w:val="19"/>
              </w:rPr>
              <w:t xml:space="preserve">, </w:t>
            </w:r>
            <w:proofErr w:type="spellStart"/>
            <w:r w:rsidR="0022243A" w:rsidRPr="004C3B01">
              <w:rPr>
                <w:rFonts w:cs="Sylfaen"/>
                <w:sz w:val="19"/>
                <w:szCs w:val="19"/>
              </w:rPr>
              <w:t>ჯეს</w:t>
            </w:r>
            <w:proofErr w:type="spellEnd"/>
          </w:p>
        </w:tc>
      </w:tr>
      <w:tr w:rsidR="0022243A" w:rsidRPr="004C3B01" w14:paraId="417FC448" w14:textId="77777777" w:rsidTr="000A0108">
        <w:trPr>
          <w:trHeight w:val="1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CA359A4" w14:textId="5B9A16EB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lastRenderedPageBreak/>
              <w:t>4.4</w:t>
            </w:r>
          </w:p>
        </w:tc>
        <w:tc>
          <w:tcPr>
            <w:tcW w:w="0" w:type="dxa"/>
            <w:shd w:val="clear" w:color="auto" w:fill="auto"/>
          </w:tcPr>
          <w:p w14:paraId="2EC540D4" w14:textId="18F8B55E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ამბულატორიულად მართვადი დაავადებებით ჰოსპიტალიზაციის მაჩვენებელი 100,000 მოსახლეზე - ტიპი 2 დიაბეტი</w:t>
            </w:r>
          </w:p>
        </w:tc>
        <w:tc>
          <w:tcPr>
            <w:tcW w:w="0" w:type="dxa"/>
          </w:tcPr>
          <w:p w14:paraId="6054E30D" w14:textId="696B725C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ტიპი 2 დიაბეტით  დაავადებულ 18-75 წლის პირებში გართულების გამო ჰოსპიტალიზებულთა </w:t>
            </w:r>
            <w:r w:rsidR="00C34345">
              <w:rPr>
                <w:rFonts w:eastAsia="Times New Roman" w:cs="Sylfaen"/>
                <w:sz w:val="19"/>
                <w:szCs w:val="19"/>
                <w:lang w:eastAsia="en-GB"/>
              </w:rPr>
              <w:t>ან</w:t>
            </w:r>
            <w:r w:rsidR="00C4671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გადაუდებელი დახმარების საჭიროების მქონე პირთა პროცენტული მაჩვენებელი</w:t>
            </w:r>
          </w:p>
        </w:tc>
        <w:tc>
          <w:tcPr>
            <w:tcW w:w="0" w:type="dxa"/>
          </w:tcPr>
          <w:p w14:paraId="49EBCBDC" w14:textId="132B3F16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მრიცხველი: 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ტიპი 2 დიაბეტით  დაავადებულ 18-75  წლის პირთა რაოდენობა, რომელთა ჰოსპიტალიზაცია ან გადაუდებელი დახმარება განხორციელდა შემდეგი ნოზოლოგიების გამო</w:t>
            </w:r>
            <w:r w:rsidR="00C4671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E11.0 - E11.8:  </w:t>
            </w:r>
          </w:p>
          <w:p w14:paraId="773D3AB2" w14:textId="766841B3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ტიპი 2 დიაბეტის მქონე დაავადებულ პირთა რეესტრში შესული 18-75  წლის ადამიანების რა-ბა ანგარიშგების პერიოდისთვის.  X 100</w:t>
            </w:r>
          </w:p>
          <w:p w14:paraId="0B33D15F" w14:textId="5B346200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 xml:space="preserve">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სქესი,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პროვაიდერი, ასაკი: 18-39; 40-49; 50-59; 60-69; 70-75</w:t>
            </w:r>
          </w:p>
        </w:tc>
        <w:tc>
          <w:tcPr>
            <w:tcW w:w="0" w:type="dxa"/>
            <w:shd w:val="clear" w:color="auto" w:fill="auto"/>
          </w:tcPr>
          <w:p w14:paraId="464D014F" w14:textId="77777777" w:rsidR="0022243A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100,000 მოსახლეზე - 37.3</w:t>
            </w:r>
            <w:r w:rsidR="00CF75C6">
              <w:rPr>
                <w:sz w:val="19"/>
                <w:szCs w:val="19"/>
              </w:rPr>
              <w:t xml:space="preserve"> ზოგად მოსახლეობაში</w:t>
            </w:r>
          </w:p>
          <w:p w14:paraId="12DC32EC" w14:textId="77777777" w:rsidR="00CF75C6" w:rsidRDefault="00CF75C6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</w:p>
          <w:p w14:paraId="6CEDD87A" w14:textId="249A4C85" w:rsidR="00CF75C6" w:rsidRPr="004C3B01" w:rsidRDefault="00CF75C6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>
              <w:rPr>
                <w:sz w:val="19"/>
                <w:szCs w:val="19"/>
              </w:rPr>
              <w:t xml:space="preserve">სამიზნე მოსახლეობაში მაჩვენებელი </w:t>
            </w:r>
            <w:proofErr w:type="spellStart"/>
            <w:r>
              <w:rPr>
                <w:sz w:val="19"/>
                <w:szCs w:val="19"/>
              </w:rPr>
              <w:t>დაგენერირდება</w:t>
            </w:r>
            <w:proofErr w:type="spellEnd"/>
            <w:r>
              <w:rPr>
                <w:sz w:val="19"/>
                <w:szCs w:val="19"/>
              </w:rPr>
              <w:t xml:space="preserve"> ინფორმაციის შეგროვების შედეგად</w:t>
            </w:r>
          </w:p>
        </w:tc>
        <w:tc>
          <w:tcPr>
            <w:tcW w:w="0" w:type="dxa"/>
            <w:shd w:val="clear" w:color="auto" w:fill="auto"/>
          </w:tcPr>
          <w:p w14:paraId="3123393C" w14:textId="2C6B31FD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შემცირება</w:t>
            </w:r>
            <w:r w:rsidRPr="004C3B01">
              <w:rPr>
                <w:sz w:val="19"/>
                <w:szCs w:val="19"/>
              </w:rPr>
              <w:t xml:space="preserve"> 10%-</w:t>
            </w:r>
            <w:r w:rsidRPr="004C3B01">
              <w:rPr>
                <w:rFonts w:cs="Sylfaen"/>
                <w:sz w:val="19"/>
                <w:szCs w:val="19"/>
              </w:rPr>
              <w:t>ით</w:t>
            </w:r>
          </w:p>
        </w:tc>
        <w:tc>
          <w:tcPr>
            <w:tcW w:w="0" w:type="dxa"/>
            <w:shd w:val="clear" w:color="auto" w:fill="auto"/>
          </w:tcPr>
          <w:p w14:paraId="01AA9236" w14:textId="27698FB4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შემცირება</w:t>
            </w:r>
            <w:r w:rsidRPr="004C3B01">
              <w:rPr>
                <w:sz w:val="19"/>
                <w:szCs w:val="19"/>
              </w:rPr>
              <w:t xml:space="preserve"> 20%-</w:t>
            </w:r>
            <w:r w:rsidRPr="004C3B01">
              <w:rPr>
                <w:rFonts w:cs="Sylfaen"/>
                <w:sz w:val="19"/>
                <w:szCs w:val="19"/>
              </w:rPr>
              <w:t>ით</w:t>
            </w:r>
          </w:p>
        </w:tc>
        <w:tc>
          <w:tcPr>
            <w:tcW w:w="0" w:type="dxa"/>
          </w:tcPr>
          <w:p w14:paraId="363B56BD" w14:textId="6E48DB2C" w:rsidR="0022243A" w:rsidRPr="004C3B01" w:rsidRDefault="00217A3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>
              <w:rPr>
                <w:rFonts w:cs="Sylfaen"/>
                <w:sz w:val="19"/>
                <w:szCs w:val="19"/>
              </w:rPr>
              <w:t>დკსჯეც</w:t>
            </w:r>
            <w:proofErr w:type="spellEnd"/>
            <w:r w:rsidR="0022243A" w:rsidRPr="004C3B01">
              <w:rPr>
                <w:sz w:val="19"/>
                <w:szCs w:val="19"/>
              </w:rPr>
              <w:t xml:space="preserve">, </w:t>
            </w:r>
            <w:proofErr w:type="spellStart"/>
            <w:r w:rsidR="0022243A" w:rsidRPr="004C3B01">
              <w:rPr>
                <w:rFonts w:cs="Sylfaen"/>
                <w:sz w:val="19"/>
                <w:szCs w:val="19"/>
              </w:rPr>
              <w:t>ჯეს</w:t>
            </w:r>
            <w:proofErr w:type="spellEnd"/>
          </w:p>
        </w:tc>
      </w:tr>
      <w:tr w:rsidR="0022243A" w:rsidRPr="004C3B01" w14:paraId="52E54DD9" w14:textId="77777777" w:rsidTr="009A1DF2">
        <w:trPr>
          <w:trHeight w:val="26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7DAC04A6" w14:textId="567109CB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5.1</w:t>
            </w:r>
          </w:p>
        </w:tc>
        <w:tc>
          <w:tcPr>
            <w:tcW w:w="2063" w:type="dxa"/>
            <w:shd w:val="clear" w:color="auto" w:fill="auto"/>
          </w:tcPr>
          <w:p w14:paraId="6D37C26A" w14:textId="33BF153A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40- 70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წწ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ქალების ძუძუს კიბოს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სკრინინგში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რეფერალი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- სერვისის მიმწოდებელთან ბენეფიციარების ვიზიტის დაჯავშნა</w:t>
            </w:r>
          </w:p>
        </w:tc>
        <w:tc>
          <w:tcPr>
            <w:tcW w:w="3375" w:type="dxa"/>
          </w:tcPr>
          <w:p w14:paraId="0F2A5EA9" w14:textId="1D13FC3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სამიზნე მოსახლეობის მოცვის გაუმჯობესების მიზნით 40-70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წწ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ქალებისთვის ძუძუს კიბოს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სკრინინგის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პროგრამაში ვიზიტის დაჯავშნა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დაწესებულების მიერ</w:t>
            </w:r>
          </w:p>
        </w:tc>
        <w:tc>
          <w:tcPr>
            <w:tcW w:w="3826" w:type="dxa"/>
          </w:tcPr>
          <w:p w14:paraId="210A411E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მრიცხველი: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40- 70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წწ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ქალების რა-ბა, რომელთაც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პროვაიდერმა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დაუჯავშნა ვიზიტი ძუძუს კიბოს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სკრინინგის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პროგრამაში</w:t>
            </w:r>
          </w:p>
          <w:p w14:paraId="0196931E" w14:textId="4FA807CD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40-70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წწ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ქალების  რა-ბა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-ს ძირითად კონტინენტში მიმაგრებული რა-დან</w:t>
            </w:r>
          </w:p>
          <w:p w14:paraId="717D56CC" w14:textId="089699FA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პროვაიდერი, სქესი, ასაკი: 18-39; 40-49; 50-59; 60-69; 70-79; 80+</w:t>
            </w:r>
          </w:p>
        </w:tc>
        <w:tc>
          <w:tcPr>
            <w:tcW w:w="1869" w:type="dxa"/>
            <w:shd w:val="clear" w:color="auto" w:fill="auto"/>
          </w:tcPr>
          <w:p w14:paraId="3E996928" w14:textId="4E4505B9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rFonts w:cs="Sylfaen"/>
                <w:sz w:val="19"/>
                <w:szCs w:val="19"/>
              </w:rPr>
              <w:t>სამიზნე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პოპულაციის</w:t>
            </w:r>
            <w:r w:rsidRPr="004C3B01">
              <w:rPr>
                <w:sz w:val="19"/>
                <w:szCs w:val="19"/>
              </w:rPr>
              <w:t xml:space="preserve"> 2% (2024</w:t>
            </w:r>
            <w:r w:rsidRPr="004C3B01">
              <w:rPr>
                <w:rFonts w:cs="Sylfaen"/>
                <w:sz w:val="19"/>
                <w:szCs w:val="19"/>
              </w:rPr>
              <w:t>წ</w:t>
            </w:r>
            <w:r w:rsidRPr="004C3B01">
              <w:rPr>
                <w:sz w:val="19"/>
                <w:szCs w:val="19"/>
              </w:rPr>
              <w:t>)</w:t>
            </w:r>
          </w:p>
        </w:tc>
        <w:tc>
          <w:tcPr>
            <w:tcW w:w="1404" w:type="dxa"/>
            <w:shd w:val="clear" w:color="auto" w:fill="auto"/>
          </w:tcPr>
          <w:p w14:paraId="1E63F462" w14:textId="48F95C0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ylfaen"/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 xml:space="preserve">სამიზნე პოპულაციის 25%-ისთვის ვიზიტი დაჯავშნილია </w:t>
            </w:r>
            <w:proofErr w:type="spellStart"/>
            <w:r w:rsidRPr="004C3B01">
              <w:rPr>
                <w:sz w:val="19"/>
                <w:szCs w:val="19"/>
              </w:rPr>
              <w:t>სკრინინგში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14:paraId="7BA306B3" w14:textId="214C5FD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ylfaen"/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 xml:space="preserve">სამიზნე პოპულაციის 50%-ისთვის ვიზიტი დაჯავშნილია </w:t>
            </w:r>
            <w:proofErr w:type="spellStart"/>
            <w:r w:rsidRPr="004C3B01">
              <w:rPr>
                <w:sz w:val="19"/>
                <w:szCs w:val="19"/>
              </w:rPr>
              <w:t>სკრინინგში</w:t>
            </w:r>
            <w:proofErr w:type="spellEnd"/>
          </w:p>
        </w:tc>
        <w:tc>
          <w:tcPr>
            <w:tcW w:w="1301" w:type="dxa"/>
          </w:tcPr>
          <w:p w14:paraId="3844FC96" w14:textId="1FA24E3E" w:rsidR="0022243A" w:rsidRPr="004C3B01" w:rsidRDefault="00217A3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ylfaen"/>
                <w:sz w:val="19"/>
                <w:szCs w:val="19"/>
              </w:rPr>
            </w:pPr>
            <w:proofErr w:type="spellStart"/>
            <w:r>
              <w:rPr>
                <w:rFonts w:cs="Sylfaen"/>
                <w:sz w:val="19"/>
                <w:szCs w:val="19"/>
              </w:rPr>
              <w:t>დკსჯეც</w:t>
            </w:r>
            <w:proofErr w:type="spellEnd"/>
          </w:p>
        </w:tc>
      </w:tr>
      <w:tr w:rsidR="0022243A" w:rsidRPr="004C3B01" w14:paraId="1C88014E" w14:textId="77777777" w:rsidTr="004C3B01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3DDB1456" w14:textId="48FB532E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5.2</w:t>
            </w:r>
          </w:p>
        </w:tc>
        <w:tc>
          <w:tcPr>
            <w:tcW w:w="2063" w:type="dxa"/>
            <w:shd w:val="clear" w:color="auto" w:fill="auto"/>
          </w:tcPr>
          <w:p w14:paraId="34BE8606" w14:textId="4B3B528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25-60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წწ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ქალების საშვილოსნოს ყელის კიბოს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სკრინინგში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რეფერალი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- სერვისის მიმწოდებელთან ბენეფიციარების ვიზიტის დაჯავშნა</w:t>
            </w:r>
          </w:p>
        </w:tc>
        <w:tc>
          <w:tcPr>
            <w:tcW w:w="3375" w:type="dxa"/>
          </w:tcPr>
          <w:p w14:paraId="0C285A2B" w14:textId="3AEB2D7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სამიზნე მოსახლეობის მოცვის გაუმჯობესების მიზნით 25-60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წწ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ქალებისთვის საშვილოსნოს ყელის კიბოს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სკრინინგის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პროგრამაში ვიზიტის დაჯავშნა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დაწესებულების მიერ</w:t>
            </w:r>
          </w:p>
        </w:tc>
        <w:tc>
          <w:tcPr>
            <w:tcW w:w="3826" w:type="dxa"/>
          </w:tcPr>
          <w:p w14:paraId="11B6D183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მრიცხველი: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25-60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წწ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ქალების რა-ბა, რომელთაც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პროვაიდერმა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დაუჯავშნა ვიზიტი საშვილოსნოს ყელის კიბოს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სკრინინგის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პროგრამაში</w:t>
            </w:r>
          </w:p>
          <w:p w14:paraId="15F22D6E" w14:textId="7E6B82BD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25-60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წწ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ქალების  რა-ბა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-ს ძირითად კონტინენტში მიმაგრებული რა-დან</w:t>
            </w:r>
          </w:p>
          <w:p w14:paraId="42A402C6" w14:textId="06C5A55D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lastRenderedPageBreak/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პროვაიდერი, სქესი, ასაკი: 18-39; 40-49; 50-59; 60-69; 70-79; 80+</w:t>
            </w:r>
          </w:p>
        </w:tc>
        <w:tc>
          <w:tcPr>
            <w:tcW w:w="1869" w:type="dxa"/>
            <w:shd w:val="clear" w:color="auto" w:fill="auto"/>
          </w:tcPr>
          <w:p w14:paraId="303B4A00" w14:textId="7D99D986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rFonts w:cs="Sylfaen"/>
                <w:sz w:val="19"/>
                <w:szCs w:val="19"/>
              </w:rPr>
              <w:lastRenderedPageBreak/>
              <w:t>სამიზნე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პოპულაციის</w:t>
            </w:r>
            <w:r w:rsidRPr="004C3B01">
              <w:rPr>
                <w:sz w:val="19"/>
                <w:szCs w:val="19"/>
              </w:rPr>
              <w:t xml:space="preserve"> 1.2% (2024</w:t>
            </w:r>
            <w:r w:rsidRPr="004C3B01">
              <w:rPr>
                <w:rFonts w:cs="Sylfaen"/>
                <w:sz w:val="19"/>
                <w:szCs w:val="19"/>
              </w:rPr>
              <w:t>წ</w:t>
            </w:r>
            <w:r w:rsidRPr="004C3B01">
              <w:rPr>
                <w:sz w:val="19"/>
                <w:szCs w:val="19"/>
              </w:rPr>
              <w:t>)</w:t>
            </w:r>
          </w:p>
        </w:tc>
        <w:tc>
          <w:tcPr>
            <w:tcW w:w="1404" w:type="dxa"/>
            <w:shd w:val="clear" w:color="auto" w:fill="auto"/>
          </w:tcPr>
          <w:p w14:paraId="6D92B1B9" w14:textId="123AE949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ylfaen"/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 xml:space="preserve">სამიზნე პოპულაციის 25%-ისთვის ვიზიტი დაჯავშნილია </w:t>
            </w:r>
            <w:proofErr w:type="spellStart"/>
            <w:r w:rsidRPr="004C3B01">
              <w:rPr>
                <w:sz w:val="19"/>
                <w:szCs w:val="19"/>
              </w:rPr>
              <w:t>სკრინინგში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14:paraId="2FB8EA3D" w14:textId="791455E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ylfaen"/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 xml:space="preserve">სამიზნე პოპულაციის 50%-ისთვის ვიზიტი დაჯავშნილია </w:t>
            </w:r>
            <w:proofErr w:type="spellStart"/>
            <w:r w:rsidRPr="004C3B01">
              <w:rPr>
                <w:sz w:val="19"/>
                <w:szCs w:val="19"/>
              </w:rPr>
              <w:t>სკრინინგში</w:t>
            </w:r>
            <w:proofErr w:type="spellEnd"/>
          </w:p>
        </w:tc>
        <w:tc>
          <w:tcPr>
            <w:tcW w:w="1301" w:type="dxa"/>
          </w:tcPr>
          <w:p w14:paraId="63FEEC84" w14:textId="12530F35" w:rsidR="0022243A" w:rsidRPr="004C3B01" w:rsidRDefault="00217A3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ylfaen"/>
                <w:sz w:val="19"/>
                <w:szCs w:val="19"/>
              </w:rPr>
            </w:pPr>
            <w:proofErr w:type="spellStart"/>
            <w:r>
              <w:rPr>
                <w:rFonts w:cs="Sylfaen"/>
                <w:sz w:val="19"/>
                <w:szCs w:val="19"/>
              </w:rPr>
              <w:t>დკსჯეც</w:t>
            </w:r>
            <w:proofErr w:type="spellEnd"/>
          </w:p>
        </w:tc>
      </w:tr>
      <w:tr w:rsidR="0022243A" w:rsidRPr="004C3B01" w14:paraId="45580333" w14:textId="77777777" w:rsidTr="004C3B01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0007B6C3" w14:textId="63619535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5.3</w:t>
            </w:r>
          </w:p>
        </w:tc>
        <w:tc>
          <w:tcPr>
            <w:tcW w:w="2063" w:type="dxa"/>
            <w:shd w:val="clear" w:color="auto" w:fill="auto"/>
          </w:tcPr>
          <w:p w14:paraId="46C9EDBF" w14:textId="18A7FFA9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50-70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წწ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პირებში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კოლორექტული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კიბოს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სკრინინგში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რეფერალი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- სერვისის მიმწოდებელთან ბენეფიციარების ვიზიტის დაჯავშნა</w:t>
            </w:r>
          </w:p>
        </w:tc>
        <w:tc>
          <w:tcPr>
            <w:tcW w:w="3375" w:type="dxa"/>
          </w:tcPr>
          <w:p w14:paraId="4BB29F0A" w14:textId="60F58FE9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სამიზნე მოსახლეობის მოცვის გაუმჯობესების მიზნით 50-70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წწ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პირებში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კოლორექტული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 კიბოს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სკრინინგის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პროგრამაში ვიზიტის დაჯავშნა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დაწესებულების მიერ</w:t>
            </w:r>
          </w:p>
        </w:tc>
        <w:tc>
          <w:tcPr>
            <w:tcW w:w="3826" w:type="dxa"/>
          </w:tcPr>
          <w:p w14:paraId="2F6FC6B3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მრიცხველი: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50-70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წწ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პირბის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რა-ბა, რომელთაც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პროვაიდერმა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დაუჯავშნა ვიზიტი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კოლორექტული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კიბოს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სკრინინგის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პროგრამაში</w:t>
            </w:r>
          </w:p>
          <w:p w14:paraId="589A5922" w14:textId="7C40368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V1: 50-70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წწ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პირების  რა-ბა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-ს ძირითად კონტინენტში მიმაგრებული რა-დან</w:t>
            </w:r>
          </w:p>
          <w:p w14:paraId="7F4CE9B6" w14:textId="345A4565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პროვაიდერი, სქესი, ასაკი: 18-39; 40-49; 50-59; 60-69; 70-79; 80+</w:t>
            </w:r>
          </w:p>
        </w:tc>
        <w:tc>
          <w:tcPr>
            <w:tcW w:w="1869" w:type="dxa"/>
            <w:shd w:val="clear" w:color="auto" w:fill="auto"/>
          </w:tcPr>
          <w:p w14:paraId="07A2E23A" w14:textId="4104A376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rFonts w:cs="Sylfaen"/>
                <w:sz w:val="19"/>
                <w:szCs w:val="19"/>
              </w:rPr>
              <w:t>სამიზნე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პოპულაციის</w:t>
            </w:r>
            <w:r w:rsidRPr="004C3B01">
              <w:rPr>
                <w:sz w:val="19"/>
                <w:szCs w:val="19"/>
              </w:rPr>
              <w:t xml:space="preserve"> 0.2% (2024</w:t>
            </w:r>
            <w:r w:rsidRPr="004C3B01">
              <w:rPr>
                <w:rFonts w:cs="Sylfaen"/>
                <w:sz w:val="19"/>
                <w:szCs w:val="19"/>
              </w:rPr>
              <w:t>წ</w:t>
            </w:r>
            <w:r w:rsidRPr="004C3B01">
              <w:rPr>
                <w:sz w:val="19"/>
                <w:szCs w:val="19"/>
              </w:rPr>
              <w:t>)</w:t>
            </w:r>
          </w:p>
        </w:tc>
        <w:tc>
          <w:tcPr>
            <w:tcW w:w="1404" w:type="dxa"/>
            <w:shd w:val="clear" w:color="auto" w:fill="auto"/>
          </w:tcPr>
          <w:p w14:paraId="0ECD7D93" w14:textId="69FFB37E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ylfaen"/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 xml:space="preserve">სამიზნე პოპულაციის 25%-ისთვის ვიზიტი დაჯავშნილია </w:t>
            </w:r>
            <w:proofErr w:type="spellStart"/>
            <w:r w:rsidRPr="004C3B01">
              <w:rPr>
                <w:sz w:val="19"/>
                <w:szCs w:val="19"/>
              </w:rPr>
              <w:t>სკრინინგში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14:paraId="7C573436" w14:textId="1195C982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ylfaen"/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 xml:space="preserve">სამიზნე პოპულაციის 50%-ისთვის ვიზიტი დაჯავშნილია </w:t>
            </w:r>
            <w:proofErr w:type="spellStart"/>
            <w:r w:rsidRPr="004C3B01">
              <w:rPr>
                <w:sz w:val="19"/>
                <w:szCs w:val="19"/>
              </w:rPr>
              <w:t>სკრინინგში</w:t>
            </w:r>
            <w:proofErr w:type="spellEnd"/>
          </w:p>
        </w:tc>
        <w:tc>
          <w:tcPr>
            <w:tcW w:w="1301" w:type="dxa"/>
          </w:tcPr>
          <w:p w14:paraId="387AE438" w14:textId="6BD689BC" w:rsidR="0022243A" w:rsidRPr="004C3B01" w:rsidRDefault="00217A3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ylfaen"/>
                <w:sz w:val="19"/>
                <w:szCs w:val="19"/>
              </w:rPr>
            </w:pPr>
            <w:proofErr w:type="spellStart"/>
            <w:r>
              <w:rPr>
                <w:rFonts w:cs="Sylfaen"/>
                <w:sz w:val="19"/>
                <w:szCs w:val="19"/>
              </w:rPr>
              <w:t>დკსჯეც</w:t>
            </w:r>
            <w:proofErr w:type="spellEnd"/>
          </w:p>
        </w:tc>
      </w:tr>
      <w:tr w:rsidR="0022243A" w:rsidRPr="004C3B01" w14:paraId="4229CE1D" w14:textId="77777777" w:rsidTr="004C3B01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33F2B529" w14:textId="31A6027F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6</w:t>
            </w:r>
          </w:p>
        </w:tc>
        <w:tc>
          <w:tcPr>
            <w:tcW w:w="2063" w:type="dxa"/>
            <w:shd w:val="clear" w:color="auto" w:fill="auto"/>
          </w:tcPr>
          <w:p w14:paraId="0041A80C" w14:textId="42FB0B7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C ჰეპატიტის, ტუბერკულოზის, აივ/შიდსის ორგანიზებული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სკრინინგით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მოცვა</w:t>
            </w:r>
          </w:p>
        </w:tc>
        <w:tc>
          <w:tcPr>
            <w:tcW w:w="3375" w:type="dxa"/>
          </w:tcPr>
          <w:p w14:paraId="71D880DD" w14:textId="6F6F7BF3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C ჰეპატიტის, ტუბერკულოზის, აივ/შიდსის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სკრინინგით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მოზრდილი მოსახლეობის მოცვა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დაწესებულების მიერ</w:t>
            </w:r>
          </w:p>
        </w:tc>
        <w:tc>
          <w:tcPr>
            <w:tcW w:w="3826" w:type="dxa"/>
          </w:tcPr>
          <w:p w14:paraId="31AAEC25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მრიცხველი: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18 წლის ზემოთ მოსახლეობა, რომელთაც ჩაუტარდათ C ჰეპატიტის, ტუბერკულოზის, აივ/შიდსის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სკრინინგი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წელიწადში ერთხელ</w:t>
            </w:r>
          </w:p>
          <w:p w14:paraId="6DF4872E" w14:textId="467A0C2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18 წლის ზემოთ პირების რა-ბა ძირითად კონტინენტში მიმაგრებული რა-დან</w:t>
            </w:r>
          </w:p>
          <w:p w14:paraId="0C35C888" w14:textId="58F2EC8A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პროვაიდერი, სქესი, ასაკი: 18-39; 40-49; 50-59; 60-69; 70-79; 80+</w:t>
            </w:r>
          </w:p>
        </w:tc>
        <w:tc>
          <w:tcPr>
            <w:tcW w:w="1869" w:type="dxa"/>
            <w:shd w:val="clear" w:color="auto" w:fill="auto"/>
          </w:tcPr>
          <w:p w14:paraId="6129E5FD" w14:textId="2F34070E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მოზრდილი მოსახლეობის 80%</w:t>
            </w:r>
          </w:p>
        </w:tc>
        <w:tc>
          <w:tcPr>
            <w:tcW w:w="1404" w:type="dxa"/>
            <w:shd w:val="clear" w:color="auto" w:fill="auto"/>
          </w:tcPr>
          <w:p w14:paraId="1F6906F6" w14:textId="79FF765B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ylfaen"/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მოზრდილი მოსახლეობის 100% ტესტირება</w:t>
            </w:r>
          </w:p>
        </w:tc>
        <w:tc>
          <w:tcPr>
            <w:tcW w:w="1440" w:type="dxa"/>
            <w:shd w:val="clear" w:color="auto" w:fill="auto"/>
          </w:tcPr>
          <w:p w14:paraId="1B3CBC00" w14:textId="272F058A" w:rsidR="0022243A" w:rsidRPr="004C3B01" w:rsidRDefault="0022243A" w:rsidP="004C3B01">
            <w:pPr>
              <w:spacing w:before="120" w:after="0" w:line="240" w:lineRule="auto"/>
              <w:ind w:right="-5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ylfaen"/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 xml:space="preserve">მოზრდილი მოსახლეობის 100% ტესტირება, მაღალი რისკის ჯგუფის პირთა </w:t>
            </w:r>
            <w:proofErr w:type="spellStart"/>
            <w:r w:rsidRPr="004C3B01">
              <w:rPr>
                <w:sz w:val="19"/>
                <w:szCs w:val="19"/>
              </w:rPr>
              <w:t>რეტესტირება</w:t>
            </w:r>
            <w:proofErr w:type="spellEnd"/>
          </w:p>
        </w:tc>
        <w:tc>
          <w:tcPr>
            <w:tcW w:w="1301" w:type="dxa"/>
          </w:tcPr>
          <w:p w14:paraId="0404FB0F" w14:textId="5B72CA66" w:rsidR="0022243A" w:rsidRPr="004C3B01" w:rsidRDefault="00217A3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ylfaen"/>
                <w:sz w:val="19"/>
                <w:szCs w:val="19"/>
              </w:rPr>
            </w:pPr>
            <w:proofErr w:type="spellStart"/>
            <w:r>
              <w:rPr>
                <w:rFonts w:cs="Sylfaen"/>
                <w:sz w:val="19"/>
                <w:szCs w:val="19"/>
              </w:rPr>
              <w:t>დკსჯეც</w:t>
            </w:r>
            <w:proofErr w:type="spellEnd"/>
          </w:p>
        </w:tc>
      </w:tr>
      <w:tr w:rsidR="0022243A" w:rsidRPr="004C3B01" w14:paraId="6A17A02D" w14:textId="77777777" w:rsidTr="004C3B01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456A92B0" w14:textId="4D194C40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7.1</w:t>
            </w:r>
          </w:p>
        </w:tc>
        <w:tc>
          <w:tcPr>
            <w:tcW w:w="2063" w:type="dxa"/>
            <w:shd w:val="clear" w:color="auto" w:fill="auto"/>
          </w:tcPr>
          <w:p w14:paraId="68130E1B" w14:textId="3A8E510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ჰიპერტენზიის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მართვისთვის კარდიოლოგთან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რეფერალის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ხვედრითი წილი აღნიშნული დიაგნოზით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-ში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lastRenderedPageBreak/>
              <w:t>ვიზიტების საერთო რაოდენობაში</w:t>
            </w:r>
          </w:p>
        </w:tc>
        <w:tc>
          <w:tcPr>
            <w:tcW w:w="3375" w:type="dxa"/>
          </w:tcPr>
          <w:p w14:paraId="3E1107B6" w14:textId="04E1DDB8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lastRenderedPageBreak/>
              <w:t xml:space="preserve">ოჯახის ექიმის მიერ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ჰიპერტენზიის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მართვისთვის კარდიოლოგთან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რეფერალის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ხვედრითი წილი აღნიშნული დიაგნოზით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-ში ვიზიტების საერთო რაოდენობაში</w:t>
            </w:r>
          </w:p>
        </w:tc>
        <w:tc>
          <w:tcPr>
            <w:tcW w:w="3826" w:type="dxa"/>
          </w:tcPr>
          <w:p w14:paraId="0859D7B2" w14:textId="6149AF80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მრიცხველი: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ჰიპერტენზიით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(I10- I15) დაავადებულ პირთა რაოდენობა რომელთანაც დაფიქსირებულია კარდიოლოგთან სულ მცირე 1 ვიზიტი წლის განმავლობაში</w:t>
            </w:r>
          </w:p>
          <w:p w14:paraId="1E7CE7E1" w14:textId="49B8F594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ჰიპერტენზიის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(I10- I15) რეესტრში შესული პაციენტები რა-ბა</w:t>
            </w:r>
          </w:p>
          <w:p w14:paraId="7416489B" w14:textId="41EB14EC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lastRenderedPageBreak/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პროვაიდერი, სქესი, ასაკი: 18-39; 40-49; 50-59; 60-69; 70-79; 80+</w:t>
            </w:r>
          </w:p>
        </w:tc>
        <w:tc>
          <w:tcPr>
            <w:tcW w:w="1869" w:type="dxa"/>
            <w:shd w:val="clear" w:color="auto" w:fill="auto"/>
          </w:tcPr>
          <w:p w14:paraId="2458FDB5" w14:textId="0DBF8FD0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rFonts w:cs="Sylfaen"/>
                <w:sz w:val="19"/>
                <w:szCs w:val="19"/>
              </w:rPr>
              <w:lastRenderedPageBreak/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</w:t>
            </w:r>
            <w:r w:rsidR="002C058E">
              <w:rPr>
                <w:rFonts w:cs="Sylfaen"/>
                <w:sz w:val="19"/>
                <w:szCs w:val="19"/>
              </w:rPr>
              <w:t>ვ</w:t>
            </w:r>
            <w:r w:rsidRPr="004C3B01">
              <w:rPr>
                <w:rFonts w:cs="Sylfaen"/>
                <w:sz w:val="19"/>
                <w:szCs w:val="19"/>
              </w:rPr>
              <w:t>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  <w:shd w:val="clear" w:color="auto" w:fill="auto"/>
          </w:tcPr>
          <w:p w14:paraId="0509C97F" w14:textId="3ADE09BC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40%</w:t>
            </w:r>
          </w:p>
        </w:tc>
        <w:tc>
          <w:tcPr>
            <w:tcW w:w="1440" w:type="dxa"/>
            <w:shd w:val="clear" w:color="auto" w:fill="auto"/>
          </w:tcPr>
          <w:p w14:paraId="6383BE37" w14:textId="73284CC8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20%</w:t>
            </w:r>
          </w:p>
        </w:tc>
        <w:tc>
          <w:tcPr>
            <w:tcW w:w="1301" w:type="dxa"/>
          </w:tcPr>
          <w:p w14:paraId="50251CD8" w14:textId="0D55DC53" w:rsidR="0022243A" w:rsidRPr="004C3B01" w:rsidRDefault="0022243A" w:rsidP="004C3B01">
            <w:pPr>
              <w:spacing w:before="120" w:after="0" w:line="240" w:lineRule="auto"/>
              <w:ind w:right="-4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ylfaen"/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სამინისტრო PHC C-EMR</w:t>
            </w:r>
          </w:p>
        </w:tc>
      </w:tr>
      <w:tr w:rsidR="0022243A" w:rsidRPr="004C3B01" w14:paraId="61D7A670" w14:textId="77777777" w:rsidTr="004C3B01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65A4F9F4" w14:textId="16EAA039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7.2</w:t>
            </w:r>
          </w:p>
        </w:tc>
        <w:tc>
          <w:tcPr>
            <w:tcW w:w="2063" w:type="dxa"/>
            <w:shd w:val="clear" w:color="auto" w:fill="auto"/>
          </w:tcPr>
          <w:p w14:paraId="34BBB58F" w14:textId="248A38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გიდ მართვისთვის კარდიოლოგთან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რეფერალის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ხვედრითი წილი აღნიშნული დიაგნოზით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-ში ვიზიტების საერთო რაოდენობაში</w:t>
            </w:r>
          </w:p>
        </w:tc>
        <w:tc>
          <w:tcPr>
            <w:tcW w:w="3375" w:type="dxa"/>
          </w:tcPr>
          <w:p w14:paraId="2030F7A2" w14:textId="3E74ABBC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ოჯახის ექიმის მიერ გიდ მართვისთვის კარდიოლოგთან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რეფერალის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ხვედრითი წილი აღნიშნული დიაგნოზით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-ში ვიზიტების საერთო რაოდენობაში</w:t>
            </w:r>
          </w:p>
        </w:tc>
        <w:tc>
          <w:tcPr>
            <w:tcW w:w="3826" w:type="dxa"/>
          </w:tcPr>
          <w:p w14:paraId="107BFB78" w14:textId="57E20FA0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მრიცხველი: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გიდ დაავადებულ პირთა რაოდენობა რომელთანაც დაფიქსირებულია კარდიოლოგთან სულ მცირე 1 ვიზიტი წლის განმავლობაში</w:t>
            </w:r>
          </w:p>
          <w:p w14:paraId="4479B752" w14:textId="178496AA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: გიდ რეესტრში შესული პაციენტები რა-ბა</w:t>
            </w:r>
          </w:p>
          <w:p w14:paraId="2B8ADC84" w14:textId="0C7AA394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პროვაიდერი, სქესი, ასაკი: 18-39; 40-49; 50-59; 60-69; 70-79; 80+</w:t>
            </w:r>
          </w:p>
        </w:tc>
        <w:tc>
          <w:tcPr>
            <w:tcW w:w="1869" w:type="dxa"/>
            <w:shd w:val="clear" w:color="auto" w:fill="auto"/>
          </w:tcPr>
          <w:p w14:paraId="23451A1D" w14:textId="646EEE2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rFonts w:cs="Sylfaen"/>
                <w:sz w:val="19"/>
                <w:szCs w:val="19"/>
              </w:rPr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</w:t>
            </w:r>
            <w:r w:rsidR="002C058E">
              <w:rPr>
                <w:rFonts w:cs="Sylfaen"/>
                <w:sz w:val="19"/>
                <w:szCs w:val="19"/>
              </w:rPr>
              <w:t>ვ</w:t>
            </w:r>
            <w:r w:rsidRPr="004C3B01">
              <w:rPr>
                <w:rFonts w:cs="Sylfaen"/>
                <w:sz w:val="19"/>
                <w:szCs w:val="19"/>
              </w:rPr>
              <w:t>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  <w:shd w:val="clear" w:color="auto" w:fill="auto"/>
          </w:tcPr>
          <w:p w14:paraId="2D079670" w14:textId="3F6ABE0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40%</w:t>
            </w:r>
          </w:p>
        </w:tc>
        <w:tc>
          <w:tcPr>
            <w:tcW w:w="1440" w:type="dxa"/>
            <w:shd w:val="clear" w:color="auto" w:fill="auto"/>
          </w:tcPr>
          <w:p w14:paraId="1723209B" w14:textId="7D080586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25%</w:t>
            </w:r>
          </w:p>
        </w:tc>
        <w:tc>
          <w:tcPr>
            <w:tcW w:w="1301" w:type="dxa"/>
          </w:tcPr>
          <w:p w14:paraId="39A68C96" w14:textId="1A5AED53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ylfaen"/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1EEC9456" w14:textId="77777777" w:rsidTr="004C3B01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38EB0124" w14:textId="307395F2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7.3</w:t>
            </w:r>
          </w:p>
        </w:tc>
        <w:tc>
          <w:tcPr>
            <w:tcW w:w="2063" w:type="dxa"/>
            <w:shd w:val="clear" w:color="auto" w:fill="auto"/>
          </w:tcPr>
          <w:p w14:paraId="618DCDC2" w14:textId="051605D9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ტიპი 2 დიაბეტის მართვისთვის ენდოკრინოლოგთან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რეფერალის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ხვედრითი წილი აღნიშნული დიაგნოზით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-ში ვიზიტების საერთო რაოდენობაში</w:t>
            </w:r>
          </w:p>
        </w:tc>
        <w:tc>
          <w:tcPr>
            <w:tcW w:w="3375" w:type="dxa"/>
          </w:tcPr>
          <w:p w14:paraId="181B80E4" w14:textId="1DA639E4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ოჯახის ექიმის მიერ ტიპი 2 დიაბეტის მართვისთვის ენდოკრინოლოგთან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რეფერალის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ხვედრითი წილი აღნიშნული დიაგნოზით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-ში ვიზიტების საერთო რაოდენობაში</w:t>
            </w:r>
          </w:p>
        </w:tc>
        <w:tc>
          <w:tcPr>
            <w:tcW w:w="3826" w:type="dxa"/>
          </w:tcPr>
          <w:p w14:paraId="1D783079" w14:textId="5A4013B0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მრიცხველი: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ტიპი 2 დიაბეტით დაავადებულ პირთა რაოდენობა რომელთანაც დაფიქსირებულია ენდოკრინოლოგთან სულ მცირე 1 ვიზიტი წლის განმავლობაში</w:t>
            </w:r>
          </w:p>
          <w:p w14:paraId="3AAAC33E" w14:textId="011288F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: ტიპი 2 დიაბეტის რეესტრში შესული პაციენტები რა-ბა</w:t>
            </w:r>
          </w:p>
          <w:p w14:paraId="2ECB1E3D" w14:textId="4410F97D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პროვაიდერი, სქესი, ასაკი: 18-39; 40-49; 50-59; 60-69; 70-79; 80+</w:t>
            </w:r>
          </w:p>
        </w:tc>
        <w:tc>
          <w:tcPr>
            <w:tcW w:w="1869" w:type="dxa"/>
            <w:shd w:val="clear" w:color="auto" w:fill="auto"/>
          </w:tcPr>
          <w:p w14:paraId="464E147D" w14:textId="3BED683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rFonts w:cs="Sylfaen"/>
                <w:sz w:val="19"/>
                <w:szCs w:val="19"/>
              </w:rPr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</w:t>
            </w:r>
            <w:r w:rsidR="002C058E">
              <w:rPr>
                <w:rFonts w:cs="Sylfaen"/>
                <w:sz w:val="19"/>
                <w:szCs w:val="19"/>
              </w:rPr>
              <w:t>ვ</w:t>
            </w:r>
            <w:r w:rsidRPr="004C3B01">
              <w:rPr>
                <w:rFonts w:cs="Sylfaen"/>
                <w:sz w:val="19"/>
                <w:szCs w:val="19"/>
              </w:rPr>
              <w:t>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  <w:shd w:val="clear" w:color="auto" w:fill="auto"/>
          </w:tcPr>
          <w:p w14:paraId="3C74D474" w14:textId="21BAD10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50%</w:t>
            </w:r>
          </w:p>
        </w:tc>
        <w:tc>
          <w:tcPr>
            <w:tcW w:w="1440" w:type="dxa"/>
            <w:shd w:val="clear" w:color="auto" w:fill="auto"/>
          </w:tcPr>
          <w:p w14:paraId="69074632" w14:textId="16F1B244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30%</w:t>
            </w:r>
          </w:p>
        </w:tc>
        <w:tc>
          <w:tcPr>
            <w:tcW w:w="1301" w:type="dxa"/>
          </w:tcPr>
          <w:p w14:paraId="571CE71F" w14:textId="06D473FA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ylfaen"/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6FEE602A" w14:textId="77777777" w:rsidTr="004C3B01">
        <w:trPr>
          <w:trHeight w:val="8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38B9D1BA" w14:textId="67F54C0E" w:rsidR="0022243A" w:rsidRPr="004C3B01" w:rsidRDefault="00CB5AF3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>
              <w:rPr>
                <w:rFonts w:eastAsia="Times New Roman" w:cs="Calibri"/>
                <w:sz w:val="19"/>
                <w:szCs w:val="19"/>
                <w:lang w:eastAsia="en-GB"/>
              </w:rPr>
              <w:t>8</w:t>
            </w:r>
          </w:p>
        </w:tc>
        <w:tc>
          <w:tcPr>
            <w:tcW w:w="2063" w:type="dxa"/>
          </w:tcPr>
          <w:p w14:paraId="112E6A07" w14:textId="265F7FE2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მოცვა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ჰიპერტენზიული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ავადმყოფობების გამო </w:t>
            </w:r>
          </w:p>
        </w:tc>
        <w:tc>
          <w:tcPr>
            <w:tcW w:w="3375" w:type="dxa"/>
          </w:tcPr>
          <w:p w14:paraId="72DF44B3" w14:textId="22E01309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ჰიპერტენზიით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(I10- I15) დაავადებულ 18 და უფროსი </w:t>
            </w:r>
            <w:r w:rsidR="000A0108">
              <w:rPr>
                <w:rFonts w:eastAsia="Times New Roman" w:cs="Calibri"/>
                <w:sz w:val="19"/>
                <w:szCs w:val="19"/>
                <w:lang w:eastAsia="en-GB"/>
              </w:rPr>
              <w:t xml:space="preserve">ასაკის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პაციენტების პროცენტული მაჩვენებელი, რომელთაც განახორციელეს ვიზიტი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ექიმთან, </w:t>
            </w:r>
            <w:r w:rsidRPr="004C3B01">
              <w:rPr>
                <w:rFonts w:eastAsia="Calibri" w:cs="Calibri"/>
                <w:sz w:val="19"/>
                <w:szCs w:val="19"/>
              </w:rPr>
              <w:t>როდესაც დოკუმენტირებულია არტერიული წნევა და შეფასებულია მკურნალობა</w:t>
            </w:r>
          </w:p>
          <w:p w14:paraId="3CA64371" w14:textId="7A5B777E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lastRenderedPageBreak/>
              <w:t xml:space="preserve">ზომავს მოზრდილი ასაკის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ჰიპერტენზიით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დაავადებულთა მოცვას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სერვისით.</w:t>
            </w:r>
          </w:p>
        </w:tc>
        <w:tc>
          <w:tcPr>
            <w:tcW w:w="3826" w:type="dxa"/>
          </w:tcPr>
          <w:p w14:paraId="37CF4920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lastRenderedPageBreak/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ჰიპერტენზიით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(I10- I15) დაავადებულ </w:t>
            </w:r>
            <w:r w:rsidRPr="004C3B01">
              <w:rPr>
                <w:rFonts w:eastAsia="Calibri" w:cs="Calibri"/>
                <w:sz w:val="19"/>
                <w:szCs w:val="19"/>
              </w:rPr>
              <w:t xml:space="preserve">პირთა რაოდენობა რომელთანაც დაფიქსირებულია </w:t>
            </w:r>
            <w:proofErr w:type="spellStart"/>
            <w:r w:rsidRPr="004C3B01">
              <w:rPr>
                <w:rFonts w:eastAsia="Calibri" w:cs="Calibri"/>
                <w:sz w:val="19"/>
                <w:szCs w:val="19"/>
              </w:rPr>
              <w:t>პჯდ</w:t>
            </w:r>
            <w:proofErr w:type="spellEnd"/>
            <w:r w:rsidRPr="004C3B01">
              <w:rPr>
                <w:rFonts w:eastAsia="Calibri" w:cs="Calibri"/>
                <w:sz w:val="19"/>
                <w:szCs w:val="19"/>
              </w:rPr>
              <w:t xml:space="preserve"> ექიმთან სულ მცირე 1 ვიზიტი, (დოკუმენტირებული არტერიული წნევით) წლის განმავლობაში.</w:t>
            </w:r>
          </w:p>
          <w:p w14:paraId="2635315C" w14:textId="321EDDB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ჰიპერტენზიის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(I10- I15) რეესტრში შესული პაციენტები რა-ბა</w:t>
            </w:r>
          </w:p>
          <w:p w14:paraId="5D8F94E6" w14:textId="1DD6CEBB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i/>
                <w:iCs/>
                <w:sz w:val="19"/>
                <w:szCs w:val="19"/>
                <w:lang w:eastAsia="en-GB"/>
              </w:rPr>
              <w:lastRenderedPageBreak/>
              <w:t>დეზაგრეგაცია</w:t>
            </w:r>
            <w:proofErr w:type="spellEnd"/>
            <w:r w:rsidRPr="004C3B01">
              <w:rPr>
                <w:rFonts w:eastAsia="Times New Roman" w:cs="Calibri"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სქესი, ასაკი: 18-39; 40-49; 50-59; 60-69; 70-79; 80+</w:t>
            </w:r>
          </w:p>
        </w:tc>
        <w:tc>
          <w:tcPr>
            <w:tcW w:w="1869" w:type="dxa"/>
          </w:tcPr>
          <w:p w14:paraId="14D0663E" w14:textId="3F0F6AB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lastRenderedPageBreak/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3E9089B2" w14:textId="4D7EE7E5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50%</w:t>
            </w:r>
          </w:p>
        </w:tc>
        <w:tc>
          <w:tcPr>
            <w:tcW w:w="1440" w:type="dxa"/>
          </w:tcPr>
          <w:p w14:paraId="0F8E5F02" w14:textId="1893131C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75%</w:t>
            </w:r>
          </w:p>
        </w:tc>
        <w:tc>
          <w:tcPr>
            <w:tcW w:w="1301" w:type="dxa"/>
          </w:tcPr>
          <w:p w14:paraId="789DC5B9" w14:textId="1694F65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2C4A092D" w14:textId="77777777" w:rsidTr="004C3B01">
        <w:trPr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295F808C" w14:textId="661DC736" w:rsidR="0022243A" w:rsidRPr="004C3B01" w:rsidRDefault="00CB5AF3" w:rsidP="004C3B01">
            <w:pPr>
              <w:spacing w:before="120" w:after="0" w:line="240" w:lineRule="auto"/>
              <w:jc w:val="left"/>
              <w:rPr>
                <w:rFonts w:eastAsia="Calibri" w:cs="Sylfaen"/>
                <w:sz w:val="19"/>
                <w:szCs w:val="19"/>
              </w:rPr>
            </w:pPr>
            <w:r>
              <w:rPr>
                <w:rFonts w:eastAsia="Calibri" w:cs="Sylfaen"/>
                <w:sz w:val="19"/>
                <w:szCs w:val="19"/>
              </w:rPr>
              <w:t>9</w:t>
            </w:r>
          </w:p>
        </w:tc>
        <w:tc>
          <w:tcPr>
            <w:tcW w:w="2063" w:type="dxa"/>
          </w:tcPr>
          <w:p w14:paraId="439C26F4" w14:textId="4BAF912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Sylfaen"/>
                <w:sz w:val="19"/>
                <w:szCs w:val="19"/>
              </w:rPr>
            </w:pPr>
            <w:r w:rsidRPr="004C3B01">
              <w:rPr>
                <w:rFonts w:eastAsia="Calibri" w:cs="Sylfaen"/>
                <w:sz w:val="19"/>
                <w:szCs w:val="19"/>
              </w:rPr>
              <w:t xml:space="preserve">HbA1c </w:t>
            </w:r>
            <w:proofErr w:type="spellStart"/>
            <w:r w:rsidRPr="004C3B01">
              <w:rPr>
                <w:rFonts w:eastAsia="Calibri" w:cs="Sylfaen"/>
                <w:sz w:val="19"/>
                <w:szCs w:val="19"/>
              </w:rPr>
              <w:t>სკრინინგი</w:t>
            </w:r>
            <w:proofErr w:type="spellEnd"/>
          </w:p>
          <w:p w14:paraId="588F327C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Sylfaen"/>
                <w:sz w:val="19"/>
                <w:szCs w:val="19"/>
              </w:rPr>
            </w:pPr>
          </w:p>
          <w:p w14:paraId="0890A2B5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Sylfaen"/>
                <w:sz w:val="19"/>
                <w:szCs w:val="19"/>
              </w:rPr>
            </w:pPr>
          </w:p>
        </w:tc>
        <w:tc>
          <w:tcPr>
            <w:tcW w:w="3375" w:type="dxa"/>
          </w:tcPr>
          <w:p w14:paraId="6D2338EA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ტიპი 2 დიაბეტის მქონე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18-და უფროსი ასაკის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პაციენტთა პროცენტული მაჩვენებელი, რომელთაც                                                                     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დოკუმენტირებულიაქვთ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HbA1c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მაჩვენებელი</w:t>
            </w:r>
          </w:p>
          <w:p w14:paraId="1936008F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ტიპი 2 დიაბეტის მქონე პაციენტებში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გლიკემიის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კონტროლისთვის. </w:t>
            </w:r>
          </w:p>
          <w:p w14:paraId="2FBE9D32" w14:textId="47C022C6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დასაბუთება </w:t>
            </w:r>
            <w:bookmarkStart w:id="0" w:name="_Ref178689248"/>
            <w:r w:rsidRPr="004C3B01">
              <w:rPr>
                <w:rFonts w:eastAsia="Times New Roman" w:cs="Sylfaen"/>
                <w:sz w:val="19"/>
                <w:szCs w:val="19"/>
                <w:vertAlign w:val="superscript"/>
                <w:lang w:eastAsia="en-GB"/>
              </w:rPr>
              <w:footnoteReference w:id="2"/>
            </w:r>
            <w:bookmarkEnd w:id="0"/>
          </w:p>
        </w:tc>
        <w:tc>
          <w:tcPr>
            <w:tcW w:w="3826" w:type="dxa"/>
          </w:tcPr>
          <w:p w14:paraId="001AD09C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ტიპი 2 დიაბეტით დაავადებულ პირთა რაოდენობა, რომელთანაც ჩაუტარდათ HbA1c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სკრინინგი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სულ მცირე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ერთჯერ</w:t>
            </w:r>
            <w:proofErr w:type="spellEnd"/>
            <w:r w:rsidRPr="004C3B01">
              <w:rPr>
                <w:rFonts w:eastAsia="Calibri" w:cs="Calibri"/>
                <w:sz w:val="19"/>
                <w:szCs w:val="19"/>
              </w:rPr>
              <w:t xml:space="preserve"> წლის განმავლობაში. </w:t>
            </w:r>
          </w:p>
          <w:p w14:paraId="1FC1A3B3" w14:textId="47FCD706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ტიპი 2 დიაბეტის რეესტ</w:t>
            </w:r>
            <w:r w:rsidR="00245658">
              <w:rPr>
                <w:rFonts w:eastAsia="Times New Roman" w:cs="Calibri"/>
                <w:sz w:val="19"/>
                <w:szCs w:val="19"/>
                <w:lang w:eastAsia="en-GB"/>
              </w:rPr>
              <w:t>რ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ში შესული პაციენტების რა-ბა.</w:t>
            </w:r>
          </w:p>
          <w:p w14:paraId="06C8866A" w14:textId="160A00E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სქესი, ასაკი: 18-39; 40-49; 50-59; 60-69; 70-79; 80+</w:t>
            </w:r>
          </w:p>
        </w:tc>
        <w:tc>
          <w:tcPr>
            <w:tcW w:w="1869" w:type="dxa"/>
            <w:shd w:val="clear" w:color="auto" w:fill="auto"/>
          </w:tcPr>
          <w:p w14:paraId="21161013" w14:textId="02CD3B9C" w:rsidR="0022243A" w:rsidRPr="004C3B01" w:rsidRDefault="0022243A" w:rsidP="004C3B0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  <w:shd w:val="clear" w:color="auto" w:fill="auto"/>
          </w:tcPr>
          <w:p w14:paraId="2BC2D145" w14:textId="0E03640D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50%</w:t>
            </w:r>
          </w:p>
        </w:tc>
        <w:tc>
          <w:tcPr>
            <w:tcW w:w="1440" w:type="dxa"/>
            <w:shd w:val="clear" w:color="auto" w:fill="auto"/>
          </w:tcPr>
          <w:p w14:paraId="18704CEB" w14:textId="33220ECE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75%</w:t>
            </w:r>
          </w:p>
        </w:tc>
        <w:tc>
          <w:tcPr>
            <w:tcW w:w="1301" w:type="dxa"/>
            <w:shd w:val="clear" w:color="auto" w:fill="auto"/>
          </w:tcPr>
          <w:p w14:paraId="22D13F9B" w14:textId="595D9DCE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07F516E6" w14:textId="77777777" w:rsidTr="004C3B01">
        <w:trPr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6019E6DB" w14:textId="33FC55F0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Calibri" w:cs="Sylfaen"/>
                <w:sz w:val="19"/>
                <w:szCs w:val="19"/>
                <w:lang w:val="en-US"/>
              </w:rPr>
            </w:pPr>
            <w:r w:rsidRPr="004C3B01">
              <w:rPr>
                <w:rFonts w:eastAsia="Calibri" w:cs="Sylfaen"/>
                <w:sz w:val="19"/>
                <w:szCs w:val="19"/>
                <w:lang w:val="en-US"/>
              </w:rPr>
              <w:t>1</w:t>
            </w:r>
            <w:r w:rsidR="00CB5AF3">
              <w:rPr>
                <w:rFonts w:eastAsia="Calibri" w:cs="Sylfaen"/>
                <w:sz w:val="19"/>
                <w:szCs w:val="19"/>
                <w:lang w:val="en-US"/>
              </w:rPr>
              <w:t>0</w:t>
            </w:r>
          </w:p>
        </w:tc>
        <w:tc>
          <w:tcPr>
            <w:tcW w:w="2063" w:type="dxa"/>
          </w:tcPr>
          <w:p w14:paraId="51985B66" w14:textId="15E07CA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Sylfaen"/>
                <w:sz w:val="19"/>
                <w:szCs w:val="19"/>
              </w:rPr>
            </w:pPr>
            <w:r w:rsidRPr="004C3B01">
              <w:rPr>
                <w:rFonts w:eastAsia="Calibri" w:cs="Sylfaen"/>
                <w:sz w:val="19"/>
                <w:szCs w:val="19"/>
              </w:rPr>
              <w:t xml:space="preserve">დიაბეტის სამიზნე ორგანოების დაზიანების შეფასება (დიაბეტური </w:t>
            </w:r>
            <w:proofErr w:type="spellStart"/>
            <w:r w:rsidRPr="004C3B01">
              <w:rPr>
                <w:rFonts w:eastAsia="Calibri" w:cs="Sylfaen"/>
                <w:sz w:val="19"/>
                <w:szCs w:val="19"/>
              </w:rPr>
              <w:t>რეტინოპათიის</w:t>
            </w:r>
            <w:proofErr w:type="spellEnd"/>
            <w:r w:rsidRPr="004C3B01">
              <w:rPr>
                <w:rFonts w:eastAsia="Calibri" w:cs="Sylfaen"/>
                <w:sz w:val="19"/>
                <w:szCs w:val="19"/>
              </w:rPr>
              <w:t xml:space="preserve"> </w:t>
            </w:r>
            <w:proofErr w:type="spellStart"/>
            <w:r w:rsidRPr="004C3B01">
              <w:rPr>
                <w:rFonts w:eastAsia="Calibri" w:cs="Sylfaen"/>
                <w:sz w:val="19"/>
                <w:szCs w:val="19"/>
              </w:rPr>
              <w:t>სკრინინგი</w:t>
            </w:r>
            <w:proofErr w:type="spellEnd"/>
            <w:r w:rsidRPr="004C3B01">
              <w:rPr>
                <w:rFonts w:eastAsia="Calibri" w:cs="Sylfaen"/>
                <w:sz w:val="19"/>
                <w:szCs w:val="19"/>
              </w:rPr>
              <w:t>)</w:t>
            </w:r>
          </w:p>
        </w:tc>
        <w:tc>
          <w:tcPr>
            <w:tcW w:w="3375" w:type="dxa"/>
          </w:tcPr>
          <w:p w14:paraId="142F6312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ტიპი 2 დიაბეტის მქონე 18 და უფროსი ასაკის პაციენტთა პროცენტული მაჩვენებელი, რომელთაც                                                                      ჩატარებული აქვთ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ფუნდოსკოპიური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გამოკვლევა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ტრენირებული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პერსონალის მიერ (ოფთალმოლოგი, ოჯახის ექიმი)</w:t>
            </w:r>
          </w:p>
          <w:p w14:paraId="5CF72B86" w14:textId="6B6E501D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lastRenderedPageBreak/>
              <w:t xml:space="preserve">დიაბეტის მქონე პაციენტებში დიაბეტური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რეტინოპათიის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რისკის შეფასება. </w:t>
            </w:r>
          </w:p>
        </w:tc>
        <w:tc>
          <w:tcPr>
            <w:tcW w:w="3826" w:type="dxa"/>
          </w:tcPr>
          <w:p w14:paraId="303443C6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lastRenderedPageBreak/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ტიპი 2 დიაბეტის დაავადებულ პირთა რაოდენობა, რომელთაც ჩაუტარდათ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რეტინოპათიაზე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კვლევა (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ფუნდოსკოპია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) სულ მცირე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ერთჯერ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წლის განმავლობაში.</w:t>
            </w:r>
          </w:p>
          <w:p w14:paraId="6018C996" w14:textId="49D1D83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ტიპი 2 დიაბეტის რეესტ</w:t>
            </w:r>
            <w:r w:rsidR="00245658">
              <w:rPr>
                <w:rFonts w:eastAsia="Times New Roman" w:cs="Calibri"/>
                <w:sz w:val="19"/>
                <w:szCs w:val="19"/>
                <w:lang w:eastAsia="en-GB"/>
              </w:rPr>
              <w:t>რ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ში შესული პაციენტების რა-ბა.</w:t>
            </w:r>
          </w:p>
          <w:p w14:paraId="40D031F5" w14:textId="206D1DFE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სქესი, ასაკი: 18-39; 40-49; 50-59; 60-69; 70-79; 80+</w:t>
            </w:r>
          </w:p>
        </w:tc>
        <w:tc>
          <w:tcPr>
            <w:tcW w:w="1869" w:type="dxa"/>
          </w:tcPr>
          <w:p w14:paraId="19305819" w14:textId="5576575A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73DBBAF1" w14:textId="37562912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50%</w:t>
            </w:r>
          </w:p>
        </w:tc>
        <w:tc>
          <w:tcPr>
            <w:tcW w:w="1440" w:type="dxa"/>
          </w:tcPr>
          <w:p w14:paraId="0DC42433" w14:textId="7F725B7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70%</w:t>
            </w:r>
          </w:p>
        </w:tc>
        <w:tc>
          <w:tcPr>
            <w:tcW w:w="1301" w:type="dxa"/>
          </w:tcPr>
          <w:p w14:paraId="3F522499" w14:textId="11A7A000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0793501E" w14:textId="77777777" w:rsidTr="004C3B01">
        <w:trPr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7215CEBF" w14:textId="4139AD84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Calibri" w:cs="Sylfaen"/>
                <w:sz w:val="19"/>
                <w:szCs w:val="19"/>
                <w:lang w:val="en-US"/>
              </w:rPr>
            </w:pPr>
            <w:r w:rsidRPr="004C3B01">
              <w:rPr>
                <w:rFonts w:eastAsia="Calibri" w:cs="Sylfaen"/>
                <w:sz w:val="19"/>
                <w:szCs w:val="19"/>
                <w:lang w:val="en-US"/>
              </w:rPr>
              <w:t>1</w:t>
            </w:r>
            <w:r w:rsidR="00CB5AF3">
              <w:rPr>
                <w:rFonts w:eastAsia="Calibri" w:cs="Sylfaen"/>
                <w:sz w:val="19"/>
                <w:szCs w:val="19"/>
                <w:lang w:val="en-US"/>
              </w:rPr>
              <w:t>1</w:t>
            </w:r>
          </w:p>
        </w:tc>
        <w:tc>
          <w:tcPr>
            <w:tcW w:w="2063" w:type="dxa"/>
          </w:tcPr>
          <w:p w14:paraId="2639103F" w14:textId="5CBA4C8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Sylfaen"/>
                <w:sz w:val="19"/>
                <w:szCs w:val="19"/>
              </w:rPr>
            </w:pPr>
            <w:r w:rsidRPr="004C3B01">
              <w:rPr>
                <w:rFonts w:eastAsia="Calibri" w:cs="Sylfaen"/>
                <w:sz w:val="19"/>
                <w:szCs w:val="19"/>
              </w:rPr>
              <w:t>დიაბეტური ტერფის შეფასება</w:t>
            </w:r>
          </w:p>
        </w:tc>
        <w:tc>
          <w:tcPr>
            <w:tcW w:w="3375" w:type="dxa"/>
          </w:tcPr>
          <w:p w14:paraId="0EC8392B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ტიპი 2 დიაბეტის მქონე 18 და უფროსი ასაკის პაციენტთა პროცენტული მაჩვენებელი, რომელთაც                                                                      ჩატარებული აქვთ დიაბეტური ტერფის შეფასება და რისკის კლასიფიკაცია</w:t>
            </w:r>
          </w:p>
          <w:p w14:paraId="3245ECD4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დიაბეტის მქონე პაციენტებში დიაბეტური ფეხის რისკის შეფასება. </w:t>
            </w:r>
          </w:p>
          <w:p w14:paraId="763119C0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</w:p>
        </w:tc>
        <w:tc>
          <w:tcPr>
            <w:tcW w:w="3826" w:type="dxa"/>
          </w:tcPr>
          <w:p w14:paraId="67BC7011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ტიპი 2 დიაბეტის დაავადებულ პირთა რაოდენობა, რომელთაც ჩაუტარდათ დიაბეტური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ტერგის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შეფასება რისკის კლასიფიკაციით სულ მცირე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ერთჯერ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წლის განმავლობაში. რისკის კლასიფიკაცია: 1) დაბალი რისკი (ნორმალური შეგრძნება, პალპაცია), 2) გაზრდილი რისკი (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ნეიროპათია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ან პულსის არარსებობა), 3) მაღალი რისკი (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ნეიროპათია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ან პულსის არარსებობა პლუს დეფორმაცია ან კანის ცვლილებები წინა წყლულის დროს) ან 4) ფეხის წყლული) </w:t>
            </w:r>
          </w:p>
          <w:p w14:paraId="43241B56" w14:textId="7CD598A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ტიპი 2 დიაბეტის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რეესტში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შესული პაციენტების რა-ბა.</w:t>
            </w:r>
          </w:p>
          <w:p w14:paraId="7B80182D" w14:textId="3F82B30B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სქესი, ასაკი: 18-39; 40-49; 50-59; 60-69; 70-79; 80+</w:t>
            </w:r>
          </w:p>
        </w:tc>
        <w:tc>
          <w:tcPr>
            <w:tcW w:w="1869" w:type="dxa"/>
          </w:tcPr>
          <w:p w14:paraId="0319C8ED" w14:textId="0BD47450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1E19B94D" w14:textId="707EE612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30%</w:t>
            </w:r>
          </w:p>
        </w:tc>
        <w:tc>
          <w:tcPr>
            <w:tcW w:w="1440" w:type="dxa"/>
          </w:tcPr>
          <w:p w14:paraId="73A46B09" w14:textId="4F4D258B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60%</w:t>
            </w:r>
          </w:p>
        </w:tc>
        <w:tc>
          <w:tcPr>
            <w:tcW w:w="1301" w:type="dxa"/>
          </w:tcPr>
          <w:p w14:paraId="7BD5D124" w14:textId="6E0B1A78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298F7F4D" w14:textId="77777777" w:rsidTr="004C3B01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1A396E1B" w14:textId="2E32354C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Calibri" w:cs="Sylfaen"/>
                <w:sz w:val="19"/>
                <w:szCs w:val="19"/>
                <w:lang w:val="en-US"/>
              </w:rPr>
            </w:pPr>
            <w:r w:rsidRPr="004C3B01">
              <w:rPr>
                <w:rFonts w:eastAsia="Calibri" w:cs="Sylfaen"/>
                <w:sz w:val="19"/>
                <w:szCs w:val="19"/>
                <w:lang w:val="en-US"/>
              </w:rPr>
              <w:t>1</w:t>
            </w:r>
            <w:r w:rsidR="00CB5AF3">
              <w:rPr>
                <w:rFonts w:eastAsia="Calibri" w:cs="Sylfaen"/>
                <w:sz w:val="19"/>
                <w:szCs w:val="19"/>
                <w:lang w:val="en-US"/>
              </w:rPr>
              <w:t>2</w:t>
            </w:r>
          </w:p>
        </w:tc>
        <w:tc>
          <w:tcPr>
            <w:tcW w:w="2063" w:type="dxa"/>
          </w:tcPr>
          <w:p w14:paraId="2841AEC4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Sylfaen"/>
                <w:sz w:val="19"/>
                <w:szCs w:val="19"/>
              </w:rPr>
            </w:pPr>
            <w:r w:rsidRPr="004C3B01">
              <w:rPr>
                <w:rFonts w:eastAsia="Calibri" w:cs="Sylfaen"/>
                <w:sz w:val="19"/>
                <w:szCs w:val="19"/>
              </w:rPr>
              <w:t>ტიპი 2 დიაბეტის დროს თირკმლების დაზიანების შეფასება (</w:t>
            </w:r>
            <w:proofErr w:type="spellStart"/>
            <w:r w:rsidRPr="004C3B01">
              <w:rPr>
                <w:rFonts w:eastAsia="Calibri" w:cs="Sylfaen"/>
                <w:sz w:val="19"/>
                <w:szCs w:val="19"/>
              </w:rPr>
              <w:t>კრეატინინი</w:t>
            </w:r>
            <w:proofErr w:type="spellEnd"/>
            <w:r w:rsidRPr="004C3B01">
              <w:rPr>
                <w:rFonts w:eastAsia="Calibri" w:cs="Sylfaen"/>
                <w:sz w:val="19"/>
                <w:szCs w:val="19"/>
              </w:rPr>
              <w:t>/</w:t>
            </w:r>
            <w:proofErr w:type="spellStart"/>
            <w:r w:rsidRPr="004C3B01">
              <w:rPr>
                <w:rFonts w:eastAsia="Calibri" w:cs="Sylfaen"/>
                <w:sz w:val="19"/>
                <w:szCs w:val="19"/>
              </w:rPr>
              <w:t>eGFR</w:t>
            </w:r>
            <w:proofErr w:type="spellEnd"/>
            <w:r w:rsidRPr="004C3B01">
              <w:rPr>
                <w:rFonts w:eastAsia="Calibri" w:cs="Sylfaen"/>
                <w:sz w:val="19"/>
                <w:szCs w:val="19"/>
              </w:rPr>
              <w:t xml:space="preserve">) </w:t>
            </w:r>
          </w:p>
        </w:tc>
        <w:tc>
          <w:tcPr>
            <w:tcW w:w="3375" w:type="dxa"/>
          </w:tcPr>
          <w:p w14:paraId="7ADA6E71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ტიპი 2 დიაბეტის დროს 18 და უფროსი ასაკის პაციენტების პროცენტული მაჩვენებელი რომელთაც განუსაზღვრეს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კრეატინინი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/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eGFR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</w:p>
          <w:p w14:paraId="28CBCBB4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ტიპი 2 დიაბეტით დაავადებულ პაციენტებში სამიზნე ორგანოების (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თირკლმის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ქრ. დაავადების) შეფასება.</w:t>
            </w:r>
          </w:p>
          <w:p w14:paraId="2D528C63" w14:textId="67BC863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lastRenderedPageBreak/>
              <w:t xml:space="preserve">დასაბუთება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fldChar w:fldCharType="begin"/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instrText xml:space="preserve"> NOTEREF _Ref178689248 \h  \* MERGEFORMAT </w:instrTex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fldChar w:fldCharType="separate"/>
            </w:r>
            <w:r w:rsidR="007450D9">
              <w:rPr>
                <w:rFonts w:eastAsia="Times New Roman" w:cs="Sylfaen"/>
                <w:sz w:val="19"/>
                <w:szCs w:val="19"/>
                <w:lang w:eastAsia="en-GB"/>
              </w:rPr>
              <w:t>1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fldChar w:fldCharType="end"/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fldChar w:fldCharType="begin"/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instrText xml:space="preserve"> NOTEREF _Ref178689165 \h  \* MERGEFORMAT </w:instrTex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fldChar w:fldCharType="separate"/>
            </w:r>
            <w:r w:rsidR="007450D9">
              <w:rPr>
                <w:rFonts w:eastAsia="Times New Roman" w:cs="Sylfaen"/>
                <w:sz w:val="19"/>
                <w:szCs w:val="19"/>
                <w:lang w:eastAsia="en-GB"/>
              </w:rPr>
              <w:t>3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fldChar w:fldCharType="end"/>
            </w:r>
          </w:p>
        </w:tc>
        <w:tc>
          <w:tcPr>
            <w:tcW w:w="3826" w:type="dxa"/>
          </w:tcPr>
          <w:p w14:paraId="52E07D31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lastRenderedPageBreak/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ტიპი 2 დიაბეტით დაავადებული 18 და უფროსი ასაკის პირთა რაოდენობა, რომელთანაც ჩაუტარდათ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კ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რეატინინის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/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eGFR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გაზომვა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სულ მცირე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ერთჯერ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წლის განმავლობაში.</w:t>
            </w:r>
          </w:p>
          <w:p w14:paraId="092FA8BB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ტიპი 2 დიაბეტის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რეესტში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შესული პაციენტების რა-ბა.</w:t>
            </w:r>
          </w:p>
          <w:p w14:paraId="0468BEF1" w14:textId="68D66CCE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i/>
                <w:iCs/>
                <w:sz w:val="19"/>
                <w:szCs w:val="19"/>
                <w:lang w:eastAsia="en-GB"/>
              </w:rPr>
              <w:lastRenderedPageBreak/>
              <w:t>დეზაგრეგაცია</w:t>
            </w:r>
            <w:proofErr w:type="spellEnd"/>
            <w:r w:rsidRPr="004C3B01">
              <w:rPr>
                <w:rFonts w:eastAsia="Times New Roman" w:cs="Calibri"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სქესი, ასაკი: 18-39; 40-49; 50-59; 60-69; 70-79; </w:t>
            </w:r>
            <w:r w:rsidR="009A1DF2">
              <w:rPr>
                <w:rFonts w:eastAsia="Times New Roman" w:cs="Calibri"/>
                <w:sz w:val="19"/>
                <w:szCs w:val="19"/>
                <w:lang w:eastAsia="en-GB"/>
              </w:rPr>
              <w:t>8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0+</w:t>
            </w:r>
          </w:p>
        </w:tc>
        <w:tc>
          <w:tcPr>
            <w:tcW w:w="1869" w:type="dxa"/>
          </w:tcPr>
          <w:p w14:paraId="4171CF16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lastRenderedPageBreak/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462246EC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50%</w:t>
            </w:r>
          </w:p>
        </w:tc>
        <w:tc>
          <w:tcPr>
            <w:tcW w:w="1440" w:type="dxa"/>
          </w:tcPr>
          <w:p w14:paraId="2C07B3F6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80%</w:t>
            </w:r>
          </w:p>
        </w:tc>
        <w:tc>
          <w:tcPr>
            <w:tcW w:w="1301" w:type="dxa"/>
          </w:tcPr>
          <w:p w14:paraId="3E8FB13E" w14:textId="40E0FCD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167665E4" w14:textId="77777777" w:rsidTr="004C3B01">
        <w:trPr>
          <w:trHeight w:val="1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7304A575" w14:textId="69708286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val="en-US"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val="en-US" w:eastAsia="en-GB"/>
              </w:rPr>
              <w:t>1</w:t>
            </w:r>
            <w:r w:rsidR="00CB5AF3">
              <w:rPr>
                <w:rFonts w:eastAsia="Times New Roman" w:cs="Sylfaen"/>
                <w:sz w:val="19"/>
                <w:szCs w:val="19"/>
                <w:lang w:val="en-US" w:eastAsia="en-GB"/>
              </w:rPr>
              <w:t>3</w:t>
            </w:r>
          </w:p>
        </w:tc>
        <w:tc>
          <w:tcPr>
            <w:tcW w:w="2063" w:type="dxa"/>
            <w:shd w:val="clear" w:color="auto" w:fill="auto"/>
          </w:tcPr>
          <w:p w14:paraId="144C760A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ტიპი 2 დიაბეტის დროს სამიზნე თირკმლების დაზიანების შეფასება (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მიკროალბუმინურიის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ტესტი/UACR) </w:t>
            </w:r>
          </w:p>
        </w:tc>
        <w:tc>
          <w:tcPr>
            <w:tcW w:w="3375" w:type="dxa"/>
          </w:tcPr>
          <w:p w14:paraId="54590CC3" w14:textId="1ABC859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ტიპი 2 დიაბეტით დაავადებულ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დაავადებულ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18 წლის და უფროსი </w:t>
            </w:r>
            <w:r w:rsidR="000A0108">
              <w:rPr>
                <w:rFonts w:eastAsia="Times New Roman" w:cs="Calibri"/>
                <w:sz w:val="19"/>
                <w:szCs w:val="19"/>
                <w:lang w:eastAsia="en-GB"/>
              </w:rPr>
              <w:t xml:space="preserve">ასაკის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პაციენტების პროცენტული მაჩვენებელი, რომელთაც განუსაზღვრეს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მიკროალბუმინურიის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ტესტი /UACR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 </w:t>
            </w:r>
          </w:p>
          <w:p w14:paraId="774B7857" w14:textId="46771C18" w:rsidR="0022243A" w:rsidRPr="004C3B01" w:rsidRDefault="00590E3E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>
              <w:rPr>
                <w:rFonts w:eastAsia="Times New Roman" w:cs="Sylfaen"/>
                <w:sz w:val="19"/>
                <w:szCs w:val="19"/>
                <w:lang w:eastAsia="en-GB"/>
              </w:rPr>
              <w:t>დიაბეტით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r w:rsidR="0022243A" w:rsidRPr="004C3B01">
              <w:rPr>
                <w:rFonts w:eastAsia="Times New Roman" w:cs="Sylfaen"/>
                <w:sz w:val="19"/>
                <w:szCs w:val="19"/>
                <w:lang w:eastAsia="en-GB"/>
              </w:rPr>
              <w:t>დაავადებულ პაციენტებში სამიზნე ორგანოების დაზიანების (</w:t>
            </w:r>
            <w:proofErr w:type="spellStart"/>
            <w:r w:rsidR="0022243A" w:rsidRPr="004C3B01">
              <w:rPr>
                <w:rFonts w:eastAsia="Times New Roman" w:cs="Sylfaen"/>
                <w:sz w:val="19"/>
                <w:szCs w:val="19"/>
                <w:lang w:eastAsia="en-GB"/>
              </w:rPr>
              <w:t>თირკლმის</w:t>
            </w:r>
            <w:proofErr w:type="spellEnd"/>
            <w:r w:rsidR="0022243A"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ქრ. დაავადების) რისკის შეფასება.</w:t>
            </w:r>
          </w:p>
          <w:p w14:paraId="2554AA34" w14:textId="627D8C33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დასაბუთება </w:t>
            </w:r>
            <w:r w:rsidR="007C61EE">
              <w:rPr>
                <w:rFonts w:eastAsia="Times New Roman" w:cs="Sylfaen"/>
                <w:sz w:val="19"/>
                <w:szCs w:val="19"/>
                <w:lang w:eastAsia="en-GB"/>
              </w:rPr>
              <w:fldChar w:fldCharType="begin"/>
            </w:r>
            <w:r w:rsidR="007C61EE">
              <w:rPr>
                <w:rFonts w:eastAsia="Times New Roman" w:cs="Sylfaen"/>
                <w:sz w:val="19"/>
                <w:szCs w:val="19"/>
                <w:lang w:eastAsia="en-GB"/>
              </w:rPr>
              <w:instrText xml:space="preserve"> NOTEREF _Ref178689248 \h </w:instrText>
            </w:r>
            <w:r w:rsidR="007C61EE">
              <w:rPr>
                <w:rFonts w:eastAsia="Times New Roman" w:cs="Sylfaen"/>
                <w:sz w:val="19"/>
                <w:szCs w:val="19"/>
                <w:lang w:eastAsia="en-GB"/>
              </w:rPr>
            </w:r>
            <w:r w:rsidR="007C61EE">
              <w:rPr>
                <w:rFonts w:eastAsia="Times New Roman" w:cs="Sylfaen"/>
                <w:sz w:val="19"/>
                <w:szCs w:val="19"/>
                <w:lang w:eastAsia="en-GB"/>
              </w:rPr>
              <w:fldChar w:fldCharType="separate"/>
            </w:r>
            <w:r w:rsidR="007C61EE">
              <w:rPr>
                <w:rFonts w:eastAsia="Times New Roman" w:cs="Sylfaen"/>
                <w:sz w:val="19"/>
                <w:szCs w:val="19"/>
                <w:lang w:eastAsia="en-GB"/>
              </w:rPr>
              <w:t>1</w:t>
            </w:r>
            <w:r w:rsidR="007C61EE">
              <w:rPr>
                <w:rFonts w:eastAsia="Times New Roman" w:cs="Sylfaen"/>
                <w:sz w:val="19"/>
                <w:szCs w:val="19"/>
                <w:lang w:eastAsia="en-GB"/>
              </w:rPr>
              <w:fldChar w:fldCharType="end"/>
            </w:r>
          </w:p>
        </w:tc>
        <w:tc>
          <w:tcPr>
            <w:tcW w:w="3826" w:type="dxa"/>
          </w:tcPr>
          <w:p w14:paraId="3C124576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ტიპი 2 დიაბეტის 18 წლის და უფროს პირთა რაოდენობა, რომელთანაც ჩაუტარდათ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მიკროალბუმინურიის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ტესტი /UACR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სულ მცირე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ერთჯერ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წლის განმავლობაში.</w:t>
            </w:r>
          </w:p>
          <w:p w14:paraId="23FF9F07" w14:textId="46652F78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ტიპი 2 დიაბეტის რეესტ</w:t>
            </w:r>
            <w:r w:rsidR="00C71DD9">
              <w:rPr>
                <w:rFonts w:eastAsia="Times New Roman" w:cs="Calibri"/>
                <w:sz w:val="19"/>
                <w:szCs w:val="19"/>
                <w:lang w:eastAsia="en-GB"/>
              </w:rPr>
              <w:t>რ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ში შესული პაციენტების რა-ბა.</w:t>
            </w:r>
          </w:p>
          <w:p w14:paraId="20849D3F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სქესი, ასაკი: 18-39; 40-49; 50-59; 60-69; 70-79; 80+</w:t>
            </w:r>
          </w:p>
        </w:tc>
        <w:tc>
          <w:tcPr>
            <w:tcW w:w="1869" w:type="dxa"/>
          </w:tcPr>
          <w:p w14:paraId="1A913B3A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5099E288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40%</w:t>
            </w:r>
          </w:p>
        </w:tc>
        <w:tc>
          <w:tcPr>
            <w:tcW w:w="1440" w:type="dxa"/>
          </w:tcPr>
          <w:p w14:paraId="3A9459AB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70%</w:t>
            </w:r>
          </w:p>
        </w:tc>
        <w:tc>
          <w:tcPr>
            <w:tcW w:w="1301" w:type="dxa"/>
          </w:tcPr>
          <w:p w14:paraId="6840BBED" w14:textId="493E378A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08F80A6E" w14:textId="77777777" w:rsidTr="004C3B01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02BDEE4D" w14:textId="313F820A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Calibri" w:cs="Sylfaen"/>
                <w:sz w:val="19"/>
                <w:szCs w:val="19"/>
                <w:lang w:val="en-US"/>
              </w:rPr>
            </w:pPr>
            <w:r w:rsidRPr="004C3B01">
              <w:rPr>
                <w:rFonts w:eastAsia="Calibri" w:cs="Sylfaen"/>
                <w:sz w:val="19"/>
                <w:szCs w:val="19"/>
                <w:lang w:val="en-US"/>
              </w:rPr>
              <w:t>1</w:t>
            </w:r>
            <w:r w:rsidR="00CB5AF3">
              <w:rPr>
                <w:rFonts w:eastAsia="Calibri" w:cs="Sylfaen"/>
                <w:sz w:val="19"/>
                <w:szCs w:val="19"/>
                <w:lang w:val="en-US"/>
              </w:rPr>
              <w:t>4</w:t>
            </w:r>
          </w:p>
        </w:tc>
        <w:tc>
          <w:tcPr>
            <w:tcW w:w="2063" w:type="dxa"/>
          </w:tcPr>
          <w:p w14:paraId="62CBDCE2" w14:textId="49A96614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Sylfaen"/>
                <w:sz w:val="19"/>
                <w:szCs w:val="19"/>
              </w:rPr>
            </w:pPr>
            <w:proofErr w:type="spellStart"/>
            <w:r w:rsidRPr="004C3B01">
              <w:rPr>
                <w:rFonts w:eastAsia="Calibri" w:cs="Sylfaen"/>
                <w:sz w:val="19"/>
                <w:szCs w:val="19"/>
              </w:rPr>
              <w:t>ჰიპერტენზიის</w:t>
            </w:r>
            <w:proofErr w:type="spellEnd"/>
            <w:r w:rsidRPr="004C3B01">
              <w:rPr>
                <w:rFonts w:eastAsia="Calibri" w:cs="Sylfaen"/>
                <w:sz w:val="19"/>
                <w:szCs w:val="19"/>
              </w:rPr>
              <w:t xml:space="preserve"> დროს თირკმლების დაზიანების შეფასება (</w:t>
            </w:r>
            <w:proofErr w:type="spellStart"/>
            <w:r w:rsidRPr="004C3B01">
              <w:rPr>
                <w:rFonts w:eastAsia="Calibri" w:cs="Sylfaen"/>
                <w:sz w:val="19"/>
                <w:szCs w:val="19"/>
              </w:rPr>
              <w:t>კრეატინინი</w:t>
            </w:r>
            <w:proofErr w:type="spellEnd"/>
            <w:r w:rsidRPr="004C3B01">
              <w:rPr>
                <w:rFonts w:eastAsia="Calibri" w:cs="Sylfaen"/>
                <w:sz w:val="19"/>
                <w:szCs w:val="19"/>
              </w:rPr>
              <w:t>/</w:t>
            </w:r>
            <w:proofErr w:type="spellStart"/>
            <w:r w:rsidRPr="004C3B01">
              <w:rPr>
                <w:rFonts w:eastAsia="Calibri" w:cs="Sylfaen"/>
                <w:sz w:val="19"/>
                <w:szCs w:val="19"/>
              </w:rPr>
              <w:t>eGFR</w:t>
            </w:r>
            <w:proofErr w:type="spellEnd"/>
            <w:r w:rsidRPr="004C3B01">
              <w:rPr>
                <w:rFonts w:eastAsia="Calibri" w:cs="Sylfaen"/>
                <w:sz w:val="19"/>
                <w:szCs w:val="19"/>
              </w:rPr>
              <w:t xml:space="preserve">) </w:t>
            </w:r>
          </w:p>
        </w:tc>
        <w:tc>
          <w:tcPr>
            <w:tcW w:w="3375" w:type="dxa"/>
          </w:tcPr>
          <w:p w14:paraId="23D59891" w14:textId="44B9D1DB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ჰიპერტენზიით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(I10- I15) დაავადებული 40 წლის და უფროსი</w:t>
            </w:r>
            <w:r w:rsidR="000A0108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ასაკის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პაციენტების პროცენტული მაჩვენებელი რომელთაც განუსაზღვრეს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კრეატინინი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/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eGFR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</w:p>
          <w:p w14:paraId="3BC9ECB4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ჰიპერტენზიით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დაავადებულ პაციენტებში სამიზნე ორგანოების (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თირკლმის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ქრ. დაავადების) შეფასება.</w:t>
            </w:r>
          </w:p>
          <w:p w14:paraId="41E5C775" w14:textId="4C8A8D5B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lastRenderedPageBreak/>
              <w:t xml:space="preserve">დასაბუთება </w:t>
            </w:r>
            <w:bookmarkStart w:id="1" w:name="_Ref194242211"/>
            <w:r w:rsidRPr="004C3B01">
              <w:rPr>
                <w:rFonts w:eastAsia="Times New Roman" w:cs="Sylfaen"/>
                <w:sz w:val="19"/>
                <w:szCs w:val="19"/>
                <w:vertAlign w:val="superscript"/>
                <w:lang w:eastAsia="en-GB"/>
              </w:rPr>
              <w:footnoteReference w:id="3"/>
            </w:r>
            <w:bookmarkEnd w:id="1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bookmarkStart w:id="2" w:name="_Ref178689165"/>
            <w:r w:rsidRPr="004C3B01">
              <w:rPr>
                <w:rFonts w:eastAsia="Times New Roman" w:cs="Sylfaen"/>
                <w:sz w:val="19"/>
                <w:szCs w:val="19"/>
                <w:vertAlign w:val="superscript"/>
                <w:lang w:eastAsia="en-GB"/>
              </w:rPr>
              <w:footnoteReference w:id="4"/>
            </w:r>
            <w:bookmarkEnd w:id="2"/>
          </w:p>
        </w:tc>
        <w:tc>
          <w:tcPr>
            <w:tcW w:w="3826" w:type="dxa"/>
          </w:tcPr>
          <w:p w14:paraId="6EC19F29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lastRenderedPageBreak/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ჰიპერტენზიით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(I10- I15) დაავადებულ 40 წლის და უფროს პირთა რაოდენობა, რომელთანაც ჩაუტარდათ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კ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რეატინინის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/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eGFR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გაზომვა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სულ მცირე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ერთჯერ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წლის განმავლობაში.</w:t>
            </w:r>
          </w:p>
          <w:p w14:paraId="1503D511" w14:textId="4B4CB873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ჰიპერტენზიის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(I10- I15) რეესტრში შესული პაციენტები რა-ბა</w:t>
            </w:r>
          </w:p>
          <w:p w14:paraId="4F79A03B" w14:textId="361D5F42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სქესი, ასაკი: 40-49; 50-59; 60-69; 70-79; 80+</w:t>
            </w:r>
          </w:p>
        </w:tc>
        <w:tc>
          <w:tcPr>
            <w:tcW w:w="1869" w:type="dxa"/>
          </w:tcPr>
          <w:p w14:paraId="50AEBEFE" w14:textId="029D021E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25A32C05" w14:textId="74C8F90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50%</w:t>
            </w:r>
          </w:p>
        </w:tc>
        <w:tc>
          <w:tcPr>
            <w:tcW w:w="1440" w:type="dxa"/>
          </w:tcPr>
          <w:p w14:paraId="14436FE6" w14:textId="5D07A24B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80%</w:t>
            </w:r>
          </w:p>
        </w:tc>
        <w:tc>
          <w:tcPr>
            <w:tcW w:w="1301" w:type="dxa"/>
          </w:tcPr>
          <w:p w14:paraId="2E9F609A" w14:textId="39A30EB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3FD333CD" w14:textId="77777777" w:rsidTr="004C3B01">
        <w:trPr>
          <w:trHeight w:val="1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3DFD1489" w14:textId="1CA75787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val="en-US"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val="en-US" w:eastAsia="en-GB"/>
              </w:rPr>
              <w:t>1</w:t>
            </w:r>
            <w:r w:rsidR="00CB5AF3">
              <w:rPr>
                <w:rFonts w:eastAsia="Times New Roman" w:cs="Sylfaen"/>
                <w:sz w:val="19"/>
                <w:szCs w:val="19"/>
                <w:lang w:val="en-US" w:eastAsia="en-GB"/>
              </w:rPr>
              <w:t>5</w:t>
            </w:r>
          </w:p>
        </w:tc>
        <w:tc>
          <w:tcPr>
            <w:tcW w:w="2063" w:type="dxa"/>
          </w:tcPr>
          <w:p w14:paraId="27290501" w14:textId="3C4F0199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ჰიპერტენზიის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დროს თირკმლების დაზიანების შეფასება (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მიკროალბუმინურიის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ტესტი/UACR) </w:t>
            </w:r>
          </w:p>
        </w:tc>
        <w:tc>
          <w:tcPr>
            <w:tcW w:w="3375" w:type="dxa"/>
          </w:tcPr>
          <w:p w14:paraId="069530F0" w14:textId="2E850AAC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ჰიპერტენზიით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(I10- I15) 40 და უფროსი </w:t>
            </w:r>
            <w:r w:rsidR="000A0108">
              <w:rPr>
                <w:rFonts w:eastAsia="Times New Roman" w:cs="Calibri"/>
                <w:sz w:val="19"/>
                <w:szCs w:val="19"/>
                <w:lang w:eastAsia="en-GB"/>
              </w:rPr>
              <w:t xml:space="preserve">ასაკის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პაციენტების პროცენტული მაჩვენებელი, რომელთაც განუსაზღვრეს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მიკროალბუმინურიის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ტესტი /UACR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 </w:t>
            </w:r>
          </w:p>
          <w:p w14:paraId="63659641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ჰიპერტენზიით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დაავადებულ პაციენტებში სამიზნე ორგანოების დაზიანების (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თირკლმის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ქრ. დაავადების) რისკის შეფასება.</w:t>
            </w:r>
          </w:p>
          <w:p w14:paraId="6BB1B4F4" w14:textId="0578654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დასაბუთება </w:t>
            </w:r>
            <w:r w:rsidR="007C61EE" w:rsidRPr="007C61EE">
              <w:rPr>
                <w:rFonts w:eastAsia="Times New Roman" w:cs="Sylfaen"/>
                <w:sz w:val="19"/>
                <w:szCs w:val="19"/>
                <w:vertAlign w:val="superscript"/>
                <w:lang w:eastAsia="en-GB"/>
              </w:rPr>
              <w:fldChar w:fldCharType="begin"/>
            </w:r>
            <w:r w:rsidR="007C61EE" w:rsidRPr="007C61EE">
              <w:rPr>
                <w:rFonts w:eastAsia="Times New Roman" w:cs="Sylfaen"/>
                <w:sz w:val="19"/>
                <w:szCs w:val="19"/>
                <w:vertAlign w:val="superscript"/>
                <w:lang w:eastAsia="en-GB"/>
              </w:rPr>
              <w:instrText xml:space="preserve"> NOTEREF _Ref194242211 \h </w:instrText>
            </w:r>
            <w:r w:rsidR="007C61EE">
              <w:rPr>
                <w:rFonts w:eastAsia="Times New Roman" w:cs="Sylfaen"/>
                <w:sz w:val="19"/>
                <w:szCs w:val="19"/>
                <w:vertAlign w:val="superscript"/>
                <w:lang w:eastAsia="en-GB"/>
              </w:rPr>
              <w:instrText xml:space="preserve"> \* MERGEFORMAT </w:instrText>
            </w:r>
            <w:r w:rsidR="007C61EE" w:rsidRPr="007C61EE">
              <w:rPr>
                <w:rFonts w:eastAsia="Times New Roman" w:cs="Sylfaen"/>
                <w:sz w:val="19"/>
                <w:szCs w:val="19"/>
                <w:vertAlign w:val="superscript"/>
                <w:lang w:eastAsia="en-GB"/>
              </w:rPr>
            </w:r>
            <w:r w:rsidR="007C61EE" w:rsidRPr="007C61EE">
              <w:rPr>
                <w:rFonts w:eastAsia="Times New Roman" w:cs="Sylfaen"/>
                <w:sz w:val="19"/>
                <w:szCs w:val="19"/>
                <w:vertAlign w:val="superscript"/>
                <w:lang w:eastAsia="en-GB"/>
              </w:rPr>
              <w:fldChar w:fldCharType="separate"/>
            </w:r>
            <w:r w:rsidR="007C61EE" w:rsidRPr="007C61EE">
              <w:rPr>
                <w:rFonts w:eastAsia="Times New Roman" w:cs="Sylfaen"/>
                <w:sz w:val="19"/>
                <w:szCs w:val="19"/>
                <w:vertAlign w:val="superscript"/>
                <w:lang w:eastAsia="en-GB"/>
              </w:rPr>
              <w:t>2</w:t>
            </w:r>
            <w:r w:rsidR="007C61EE" w:rsidRPr="007C61EE">
              <w:rPr>
                <w:rFonts w:eastAsia="Times New Roman" w:cs="Sylfaen"/>
                <w:sz w:val="19"/>
                <w:szCs w:val="19"/>
                <w:vertAlign w:val="superscript"/>
                <w:lang w:eastAsia="en-GB"/>
              </w:rPr>
              <w:fldChar w:fldCharType="end"/>
            </w:r>
            <w:r w:rsidR="007C61EE" w:rsidRPr="007C61EE">
              <w:rPr>
                <w:rFonts w:eastAsia="Times New Roman" w:cs="Sylfaen"/>
                <w:sz w:val="19"/>
                <w:szCs w:val="19"/>
                <w:vertAlign w:val="superscript"/>
                <w:lang w:eastAsia="en-GB"/>
              </w:rPr>
              <w:t xml:space="preserve"> </w:t>
            </w:r>
            <w:r w:rsidR="007C61EE" w:rsidRPr="007C61EE">
              <w:rPr>
                <w:rFonts w:eastAsia="Times New Roman" w:cs="Sylfaen"/>
                <w:sz w:val="19"/>
                <w:szCs w:val="19"/>
                <w:vertAlign w:val="superscript"/>
                <w:lang w:eastAsia="en-GB"/>
              </w:rPr>
              <w:fldChar w:fldCharType="begin"/>
            </w:r>
            <w:r w:rsidR="007C61EE" w:rsidRPr="007C61EE">
              <w:rPr>
                <w:rFonts w:eastAsia="Times New Roman" w:cs="Sylfaen"/>
                <w:sz w:val="19"/>
                <w:szCs w:val="19"/>
                <w:vertAlign w:val="superscript"/>
                <w:lang w:eastAsia="en-GB"/>
              </w:rPr>
              <w:instrText xml:space="preserve"> NOTEREF _Ref178689165 \h </w:instrText>
            </w:r>
            <w:r w:rsidR="007C61EE">
              <w:rPr>
                <w:rFonts w:eastAsia="Times New Roman" w:cs="Sylfaen"/>
                <w:sz w:val="19"/>
                <w:szCs w:val="19"/>
                <w:vertAlign w:val="superscript"/>
                <w:lang w:eastAsia="en-GB"/>
              </w:rPr>
              <w:instrText xml:space="preserve"> \* MERGEFORMAT </w:instrText>
            </w:r>
            <w:r w:rsidR="007C61EE" w:rsidRPr="007C61EE">
              <w:rPr>
                <w:rFonts w:eastAsia="Times New Roman" w:cs="Sylfaen"/>
                <w:sz w:val="19"/>
                <w:szCs w:val="19"/>
                <w:vertAlign w:val="superscript"/>
                <w:lang w:eastAsia="en-GB"/>
              </w:rPr>
            </w:r>
            <w:r w:rsidR="007C61EE" w:rsidRPr="007C61EE">
              <w:rPr>
                <w:rFonts w:eastAsia="Times New Roman" w:cs="Sylfaen"/>
                <w:sz w:val="19"/>
                <w:szCs w:val="19"/>
                <w:vertAlign w:val="superscript"/>
                <w:lang w:eastAsia="en-GB"/>
              </w:rPr>
              <w:fldChar w:fldCharType="separate"/>
            </w:r>
            <w:r w:rsidR="007C61EE" w:rsidRPr="007C61EE">
              <w:rPr>
                <w:rFonts w:eastAsia="Times New Roman" w:cs="Sylfaen"/>
                <w:sz w:val="19"/>
                <w:szCs w:val="19"/>
                <w:vertAlign w:val="superscript"/>
                <w:lang w:eastAsia="en-GB"/>
              </w:rPr>
              <w:t>3</w:t>
            </w:r>
            <w:r w:rsidR="007C61EE" w:rsidRPr="007C61EE">
              <w:rPr>
                <w:rFonts w:eastAsia="Times New Roman" w:cs="Sylfaen"/>
                <w:sz w:val="19"/>
                <w:szCs w:val="19"/>
                <w:vertAlign w:val="superscript"/>
                <w:lang w:eastAsia="en-GB"/>
              </w:rPr>
              <w:fldChar w:fldCharType="end"/>
            </w:r>
          </w:p>
        </w:tc>
        <w:tc>
          <w:tcPr>
            <w:tcW w:w="3826" w:type="dxa"/>
          </w:tcPr>
          <w:p w14:paraId="0F8753DB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ჰიპერტენზიით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(I10- I15) დაავადებულ 40 და უფროს ასაკის პირთა რაოდენობა, რომელთანაც ჩაუტარდათ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მიკროალბუმინურიის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ტესტი /UACR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სულ მცირე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ერთჯერ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წლის განმავლობაში.</w:t>
            </w:r>
          </w:p>
          <w:p w14:paraId="55A8C25D" w14:textId="3BAED3E2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ჰიპერტენზიის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(I10- I15) რეესტრში შესული პაციენტები რა-ბა</w:t>
            </w:r>
          </w:p>
          <w:p w14:paraId="05359228" w14:textId="03F4885D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სქესი, ასაკი: 18-39; 40-49; 50-59; 60-69; 70-79; 80+</w:t>
            </w:r>
          </w:p>
        </w:tc>
        <w:tc>
          <w:tcPr>
            <w:tcW w:w="1869" w:type="dxa"/>
          </w:tcPr>
          <w:p w14:paraId="4B67819B" w14:textId="77A1CEF8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3316682C" w14:textId="0038DD3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40%</w:t>
            </w:r>
          </w:p>
        </w:tc>
        <w:tc>
          <w:tcPr>
            <w:tcW w:w="1440" w:type="dxa"/>
          </w:tcPr>
          <w:p w14:paraId="206A58FC" w14:textId="208A5E18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70%</w:t>
            </w:r>
          </w:p>
        </w:tc>
        <w:tc>
          <w:tcPr>
            <w:tcW w:w="1301" w:type="dxa"/>
          </w:tcPr>
          <w:p w14:paraId="6AB5E806" w14:textId="25C313FD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7313894A" w14:textId="77777777" w:rsidTr="004C3B01">
        <w:trPr>
          <w:trHeight w:val="11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7BF424A4" w14:textId="4F6529D4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val="en-US"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val="en-US" w:eastAsia="en-GB"/>
              </w:rPr>
              <w:t>1</w:t>
            </w:r>
            <w:r w:rsidR="00CB5AF3">
              <w:rPr>
                <w:rFonts w:eastAsia="Times New Roman" w:cs="Sylfaen"/>
                <w:sz w:val="19"/>
                <w:szCs w:val="19"/>
                <w:lang w:val="en-US" w:eastAsia="en-GB"/>
              </w:rPr>
              <w:t>6</w:t>
            </w:r>
          </w:p>
        </w:tc>
        <w:tc>
          <w:tcPr>
            <w:tcW w:w="2063" w:type="dxa"/>
          </w:tcPr>
          <w:p w14:paraId="4A63B7CF" w14:textId="2A64E6BA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3-თვეში კონტროლირებული არტერიული წნევა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ჰიპერტენზიის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მკურნალობის ქვეშ მყოფ პაციენტებში</w:t>
            </w:r>
          </w:p>
          <w:p w14:paraId="6E8F6FD7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</w:p>
          <w:p w14:paraId="0FC27DAD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</w:p>
        </w:tc>
        <w:tc>
          <w:tcPr>
            <w:tcW w:w="3375" w:type="dxa"/>
          </w:tcPr>
          <w:p w14:paraId="2A0699DD" w14:textId="1597A973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ჰიპერტენზიით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(I10- I15) დაავადებულ 18 წლის და უფროსი </w:t>
            </w:r>
            <w:r w:rsidR="000A0108">
              <w:rPr>
                <w:rFonts w:eastAsia="Times New Roman" w:cs="Calibri"/>
                <w:sz w:val="19"/>
                <w:szCs w:val="19"/>
                <w:lang w:eastAsia="en-GB"/>
              </w:rPr>
              <w:t xml:space="preserve">ასაკის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პაციენტების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პროცენტული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მაჩვენებელი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რომელთა არტერიული წნევა კონტროლირებულია მკურნალობის დაწყებიდან 3 თვის შემდეგ</w:t>
            </w:r>
          </w:p>
          <w:p w14:paraId="71A4FAFF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ჰიპერტენზიით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დაავადებულ პაციენტებში მკურნალობის ეფექტურობის შეფასება </w:t>
            </w:r>
          </w:p>
          <w:p w14:paraId="335BFEFC" w14:textId="6A91A9AC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lastRenderedPageBreak/>
              <w:t xml:space="preserve">დასაბუთება </w:t>
            </w:r>
            <w:r w:rsidR="00AA1641">
              <w:rPr>
                <w:rFonts w:eastAsia="Times New Roman" w:cs="Sylfaen"/>
                <w:sz w:val="19"/>
                <w:szCs w:val="19"/>
                <w:lang w:eastAsia="en-GB"/>
              </w:rPr>
              <w:fldChar w:fldCharType="begin"/>
            </w:r>
            <w:r w:rsidR="00AA1641">
              <w:rPr>
                <w:rFonts w:eastAsia="Times New Roman" w:cs="Sylfaen"/>
                <w:sz w:val="19"/>
                <w:szCs w:val="19"/>
                <w:lang w:eastAsia="en-GB"/>
              </w:rPr>
              <w:instrText xml:space="preserve"> NOTEREF _Ref178689165 \h </w:instrText>
            </w:r>
            <w:r w:rsidR="00AA1641">
              <w:rPr>
                <w:rFonts w:eastAsia="Times New Roman" w:cs="Sylfaen"/>
                <w:sz w:val="19"/>
                <w:szCs w:val="19"/>
                <w:lang w:eastAsia="en-GB"/>
              </w:rPr>
            </w:r>
            <w:r w:rsidR="00AA1641">
              <w:rPr>
                <w:rFonts w:eastAsia="Times New Roman" w:cs="Sylfaen"/>
                <w:sz w:val="19"/>
                <w:szCs w:val="19"/>
                <w:lang w:eastAsia="en-GB"/>
              </w:rPr>
              <w:fldChar w:fldCharType="separate"/>
            </w:r>
            <w:r w:rsidR="00AA1641">
              <w:rPr>
                <w:rFonts w:eastAsia="Times New Roman" w:cs="Sylfaen"/>
                <w:sz w:val="19"/>
                <w:szCs w:val="19"/>
                <w:lang w:eastAsia="en-GB"/>
              </w:rPr>
              <w:t>3</w:t>
            </w:r>
            <w:r w:rsidR="00AA1641">
              <w:rPr>
                <w:rFonts w:eastAsia="Times New Roman" w:cs="Sylfaen"/>
                <w:sz w:val="19"/>
                <w:szCs w:val="19"/>
                <w:lang w:eastAsia="en-GB"/>
              </w:rPr>
              <w:fldChar w:fldCharType="end"/>
            </w:r>
          </w:p>
        </w:tc>
        <w:tc>
          <w:tcPr>
            <w:tcW w:w="3826" w:type="dxa"/>
          </w:tcPr>
          <w:p w14:paraId="439C67BB" w14:textId="76D346F0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lastRenderedPageBreak/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ჰიპერტენზიით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(I10- I15) დაავადებულ 18 წლის და უფროს პირთა რაოდენობა, </w:t>
            </w:r>
            <w:r w:rsidR="00741A4E">
              <w:rPr>
                <w:rFonts w:eastAsia="Times New Roman" w:cs="Calibri"/>
                <w:sz w:val="19"/>
                <w:szCs w:val="19"/>
                <w:lang w:eastAsia="en-GB"/>
              </w:rPr>
              <w:t xml:space="preserve">რომლებიც რეგისტრირებული არიან ანგარიშგების პერიოდში და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რომელთა არტერიული წნევა &lt;140/90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მმ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ვწყ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სვ. დოკუმენტირებულია ანგარიშგების </w:t>
            </w:r>
            <w:r w:rsidR="0033529E">
              <w:rPr>
                <w:rFonts w:eastAsia="Times New Roman" w:cs="Calibri"/>
                <w:sz w:val="19"/>
                <w:szCs w:val="19"/>
                <w:lang w:eastAsia="en-GB"/>
              </w:rPr>
              <w:t>პერიოდში</w:t>
            </w:r>
            <w:r w:rsidR="0033529E"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ჩატარებულ ბოლო ვიზიტზე (არ მოიცავს პაციენტებს, რომლებიც დარეგისტრირდნენ 3 თვემდე პერიოდში).</w:t>
            </w:r>
          </w:p>
          <w:p w14:paraId="624449F2" w14:textId="22554AB8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lastRenderedPageBreak/>
              <w:t xml:space="preserve">მნიშვნელი: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ჰიპერტენზიის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მქონე დაავადებულ </w:t>
            </w:r>
            <w:r w:rsidRPr="004C3B01">
              <w:rPr>
                <w:rFonts w:eastAsia="Calibri" w:cs="Calibri"/>
                <w:sz w:val="19"/>
                <w:szCs w:val="19"/>
              </w:rPr>
              <w:t xml:space="preserve">პირთა რეესტრში </w:t>
            </w:r>
            <w:r w:rsidR="00741A4E" w:rsidRPr="000A0108">
              <w:rPr>
                <w:rFonts w:eastAsia="Times New Roman" w:cs="Calibri"/>
                <w:sz w:val="19"/>
                <w:szCs w:val="19"/>
                <w:lang w:eastAsia="en-GB"/>
              </w:rPr>
              <w:t>ანგ</w:t>
            </w:r>
            <w:r w:rsidR="00741A4E">
              <w:rPr>
                <w:rFonts w:eastAsia="Times New Roman" w:cs="Calibri"/>
                <w:sz w:val="19"/>
                <w:szCs w:val="19"/>
                <w:lang w:eastAsia="en-GB"/>
              </w:rPr>
              <w:t>ა</w:t>
            </w:r>
            <w:r w:rsidR="00741A4E" w:rsidRPr="000A0108">
              <w:rPr>
                <w:rFonts w:eastAsia="Times New Roman" w:cs="Calibri"/>
                <w:sz w:val="19"/>
                <w:szCs w:val="19"/>
                <w:lang w:eastAsia="en-GB"/>
              </w:rPr>
              <w:t>რ</w:t>
            </w:r>
            <w:r w:rsidR="00741A4E">
              <w:rPr>
                <w:rFonts w:eastAsia="Times New Roman" w:cs="Calibri"/>
                <w:sz w:val="19"/>
                <w:szCs w:val="19"/>
                <w:lang w:eastAsia="en-GB"/>
              </w:rPr>
              <w:t>ი</w:t>
            </w:r>
            <w:r w:rsidR="00741A4E" w:rsidRPr="000A0108">
              <w:rPr>
                <w:rFonts w:eastAsia="Times New Roman" w:cs="Calibri"/>
                <w:sz w:val="19"/>
                <w:szCs w:val="19"/>
                <w:lang w:eastAsia="en-GB"/>
              </w:rPr>
              <w:t>შგების პერიოდში</w:t>
            </w:r>
            <w:r w:rsidR="00741A4E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Calibri" w:cs="Calibri"/>
                <w:sz w:val="19"/>
                <w:szCs w:val="19"/>
              </w:rPr>
              <w:t xml:space="preserve">შესული ადამიანების რა-ბა,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გარდა იმ პაციენტებისა, რომლებიც დარეგისტრირდნენ </w:t>
            </w:r>
            <w:r w:rsidR="00D70884">
              <w:rPr>
                <w:rFonts w:eastAsia="Times New Roman" w:cs="Calibri"/>
                <w:sz w:val="19"/>
                <w:szCs w:val="19"/>
                <w:lang w:eastAsia="en-GB"/>
              </w:rPr>
              <w:t>ბოლო 3</w:t>
            </w:r>
            <w:r w:rsidR="00D70884"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თვემდე პერიოდში.</w:t>
            </w:r>
          </w:p>
          <w:p w14:paraId="79234225" w14:textId="4AB838AC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სქესი, ასაკი: 18-39; 40-49; 50-59; 60-69; 70-79; 80+</w:t>
            </w:r>
          </w:p>
        </w:tc>
        <w:tc>
          <w:tcPr>
            <w:tcW w:w="1869" w:type="dxa"/>
          </w:tcPr>
          <w:p w14:paraId="129F7E7D" w14:textId="6D31783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lastRenderedPageBreak/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53F80C6E" w14:textId="0D7E4AE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50%</w:t>
            </w:r>
          </w:p>
        </w:tc>
        <w:tc>
          <w:tcPr>
            <w:tcW w:w="1440" w:type="dxa"/>
          </w:tcPr>
          <w:p w14:paraId="7A2CE633" w14:textId="410D7536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75%</w:t>
            </w:r>
          </w:p>
        </w:tc>
        <w:tc>
          <w:tcPr>
            <w:tcW w:w="1301" w:type="dxa"/>
          </w:tcPr>
          <w:p w14:paraId="03AFEB6D" w14:textId="22ED6CCB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57234198" w14:textId="77777777" w:rsidTr="004C3B01">
        <w:trPr>
          <w:trHeight w:val="6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7610360B" w14:textId="39019DC8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val="en-US"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val="en-US" w:eastAsia="en-GB"/>
              </w:rPr>
              <w:t>1</w:t>
            </w:r>
            <w:r w:rsidR="00CB5AF3">
              <w:rPr>
                <w:rFonts w:eastAsia="Times New Roman" w:cs="Sylfaen"/>
                <w:sz w:val="19"/>
                <w:szCs w:val="19"/>
                <w:lang w:val="en-US" w:eastAsia="en-GB"/>
              </w:rPr>
              <w:t>7</w:t>
            </w:r>
          </w:p>
        </w:tc>
        <w:tc>
          <w:tcPr>
            <w:tcW w:w="2063" w:type="dxa"/>
          </w:tcPr>
          <w:p w14:paraId="2ACA75EF" w14:textId="770CC714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კონტროლირებული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გლიკემია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დიაბეტით დაავადებულ პაციენტებში</w:t>
            </w:r>
          </w:p>
        </w:tc>
        <w:tc>
          <w:tcPr>
            <w:tcW w:w="3375" w:type="dxa"/>
          </w:tcPr>
          <w:p w14:paraId="7BA5B598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ტიპი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2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შაქრიანი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დიაბეტის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მქონე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&gt;18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წლის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პირთა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პროცენტული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მაჩვენებელი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რომელთა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გლიკემიის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დონე სისხლში კონტროლირებულია მკურნალობის დაწყებიდან არა უადრეს 3 თვეში</w:t>
            </w:r>
          </w:p>
          <w:p w14:paraId="341B1170" w14:textId="1F348966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ტიპი 2 დიაბეტით დაავადებულ პაციენტებში მკურნალობის ეფექტურობის შეფასება</w:t>
            </w:r>
          </w:p>
        </w:tc>
        <w:tc>
          <w:tcPr>
            <w:tcW w:w="3826" w:type="dxa"/>
          </w:tcPr>
          <w:p w14:paraId="60D7EF63" w14:textId="3D202D1E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ტიპი 2 შაქრიანი დიაბეტით დაავადებულ 18 წლის და უფროს პირთა რაოდენობა, რომელთა HbA1C&lt;7% (53მმოლ/მოლ) ანგარიშგების </w:t>
            </w:r>
            <w:r w:rsidR="00F96504">
              <w:rPr>
                <w:rFonts w:eastAsia="Times New Roman" w:cs="Calibri"/>
                <w:sz w:val="19"/>
                <w:szCs w:val="19"/>
                <w:lang w:eastAsia="en-GB"/>
              </w:rPr>
              <w:t>პერიოდში</w:t>
            </w:r>
            <w:r w:rsidR="00F96504"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ჩატარებულ ბოლო ვიზიტზე (არ მოიცავს პაციენტებს, რომლებიც დარეგისტრირდნენ 3 თვემდე პერიოდში).</w:t>
            </w:r>
          </w:p>
          <w:p w14:paraId="57078307" w14:textId="6FE44F7E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ტიპი 2 შაქრიანი დიაბეტით დაავადებულ </w:t>
            </w:r>
            <w:r w:rsidRPr="004C3B01">
              <w:rPr>
                <w:rFonts w:eastAsia="Calibri" w:cs="Calibri"/>
                <w:sz w:val="19"/>
                <w:szCs w:val="19"/>
              </w:rPr>
              <w:t xml:space="preserve">პირთა რეესტრში დარეგისტრირებულ პაციენტთა რა-ბა,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გარდა იმ პაციენტებისა, რომლებიც დარეგისტრირდნენ 3 თვემდე პერიოდში.</w:t>
            </w:r>
          </w:p>
          <w:p w14:paraId="1043C6DA" w14:textId="2B66E9C8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სქესი, ასაკი: 18-39; 40-49; 50-59; 60-69; 70-79; 80+</w:t>
            </w:r>
          </w:p>
        </w:tc>
        <w:tc>
          <w:tcPr>
            <w:tcW w:w="1869" w:type="dxa"/>
          </w:tcPr>
          <w:p w14:paraId="0227CEE4" w14:textId="412FA11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78CE6DAB" w14:textId="324DBF22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50%</w:t>
            </w:r>
          </w:p>
        </w:tc>
        <w:tc>
          <w:tcPr>
            <w:tcW w:w="1440" w:type="dxa"/>
          </w:tcPr>
          <w:p w14:paraId="2D0998F6" w14:textId="6BAA5B55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75%</w:t>
            </w:r>
          </w:p>
        </w:tc>
        <w:tc>
          <w:tcPr>
            <w:tcW w:w="1301" w:type="dxa"/>
          </w:tcPr>
          <w:p w14:paraId="5EDE0F15" w14:textId="4762007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18AD7E65" w14:textId="77777777" w:rsidTr="004C3B01">
        <w:trPr>
          <w:trHeight w:val="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11977F36" w14:textId="6752D37C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val="en-US"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val="en-US" w:eastAsia="en-GB"/>
              </w:rPr>
              <w:t>1</w:t>
            </w:r>
            <w:r w:rsidR="00CB5AF3">
              <w:rPr>
                <w:rFonts w:eastAsia="Times New Roman" w:cs="Sylfaen"/>
                <w:sz w:val="19"/>
                <w:szCs w:val="19"/>
                <w:lang w:val="en-US" w:eastAsia="en-GB"/>
              </w:rPr>
              <w:t>8</w:t>
            </w:r>
          </w:p>
        </w:tc>
        <w:tc>
          <w:tcPr>
            <w:tcW w:w="2063" w:type="dxa"/>
          </w:tcPr>
          <w:p w14:paraId="2DB7C70E" w14:textId="66F64A9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კონტროლირებული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ლიპიდური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საერთო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ქოლესტეროლი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დიაბეტით დაავადებულ პაციენტებში</w:t>
            </w:r>
          </w:p>
          <w:p w14:paraId="7E5C3874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</w:p>
        </w:tc>
        <w:tc>
          <w:tcPr>
            <w:tcW w:w="3375" w:type="dxa"/>
          </w:tcPr>
          <w:p w14:paraId="32EEA836" w14:textId="025AC891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lastRenderedPageBreak/>
              <w:t>ტიპი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2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შაქრიანი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დიაბეტის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მქონე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&gt;18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წლის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პირთა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პროცენტული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მაჩვენებელი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რომელთა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ლიპიდური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სპექტრი  (საერთო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ქოლე</w:t>
            </w:r>
            <w:r w:rsidR="00253F2C">
              <w:rPr>
                <w:rFonts w:eastAsia="Times New Roman" w:cs="Sylfaen"/>
                <w:sz w:val="19"/>
                <w:szCs w:val="19"/>
                <w:lang w:eastAsia="en-GB"/>
              </w:rPr>
              <w:t>ს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ტეროლი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) კონტროლირებულია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სტატინებით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lastRenderedPageBreak/>
              <w:t>მკურნალობის დაწყებიდან არაუადრეს 3 თვეში</w:t>
            </w:r>
          </w:p>
          <w:p w14:paraId="62E322BA" w14:textId="41BAD676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ტიპი 2 დიაბეტის და გიდ-ის მქონე პაციენტებში მკურნალობის ეფექტურობის შეფასება</w:t>
            </w:r>
          </w:p>
          <w:p w14:paraId="08B7F304" w14:textId="77777777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</w:p>
        </w:tc>
        <w:tc>
          <w:tcPr>
            <w:tcW w:w="3826" w:type="dxa"/>
          </w:tcPr>
          <w:p w14:paraId="6932AA3B" w14:textId="15C22897" w:rsidR="0022243A" w:rsidRPr="004C3B01" w:rsidRDefault="0022243A" w:rsidP="00C4671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lastRenderedPageBreak/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: ტიპი 2 შაქრიანი დიაბეტით დაავადებულ 18 წლის და უფროს პირთა რაოდენობა, რომელთა საერთო  ქოლესტერინი &lt; 194mg/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dl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ან &lt;5მმოლ/ლ დოკუმენტირებულია ანგარიშგების კვარტალში ჩატარებულ ბოლო ვიზიტზე</w:t>
            </w:r>
            <w:r w:rsidR="006C67B2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="006C67B2">
              <w:rPr>
                <w:rFonts w:eastAsia="Times New Roman" w:cs="Calibri"/>
                <w:sz w:val="19"/>
                <w:szCs w:val="19"/>
                <w:lang w:eastAsia="en-GB"/>
              </w:rPr>
              <w:lastRenderedPageBreak/>
              <w:t>(</w:t>
            </w:r>
            <w:r w:rsidR="006C67B2" w:rsidRPr="004C3B01">
              <w:rPr>
                <w:rFonts w:eastAsia="Times New Roman" w:cs="Calibri"/>
                <w:sz w:val="19"/>
                <w:szCs w:val="19"/>
                <w:lang w:eastAsia="en-GB"/>
              </w:rPr>
              <w:t>არ მოიცავს პაციენტებს, რომლებიც დარეგისტრირდნენ 3 თვემდე პერიოდში).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</w:p>
          <w:p w14:paraId="57B980FC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ტიპი 2 შაქრიანი დიაბეტით </w:t>
            </w:r>
            <w:r w:rsidRPr="004C3B01">
              <w:rPr>
                <w:rFonts w:eastAsia="Calibri" w:cs="Calibri"/>
                <w:sz w:val="19"/>
                <w:szCs w:val="19"/>
              </w:rPr>
              <w:t>პირთა რეესტრებში შესული ადამიანების რა-ბა, გარდა იმ პაციენტებისა, რომლებიც დარეგისტრირდნენ 3 თვემდე პერიოდში.</w:t>
            </w:r>
          </w:p>
          <w:p w14:paraId="4011079D" w14:textId="0CBAD14B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სქესი, ასაკი: 18-39; 40-49; 50-59; 60-69; 70-79; 80+</w:t>
            </w:r>
          </w:p>
        </w:tc>
        <w:tc>
          <w:tcPr>
            <w:tcW w:w="1869" w:type="dxa"/>
          </w:tcPr>
          <w:p w14:paraId="345BDDAE" w14:textId="725A0D2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lastRenderedPageBreak/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173EA7B2" w14:textId="0F82233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50%</w:t>
            </w:r>
          </w:p>
        </w:tc>
        <w:tc>
          <w:tcPr>
            <w:tcW w:w="1440" w:type="dxa"/>
          </w:tcPr>
          <w:p w14:paraId="343756A5" w14:textId="0E8CCDBE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75%</w:t>
            </w:r>
          </w:p>
        </w:tc>
        <w:tc>
          <w:tcPr>
            <w:tcW w:w="1301" w:type="dxa"/>
          </w:tcPr>
          <w:p w14:paraId="6EB69172" w14:textId="0F7138EB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7DBA3D2B" w14:textId="77777777" w:rsidTr="004C3B01">
        <w:trPr>
          <w:trHeight w:val="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70A409D4" w14:textId="65CE2E74" w:rsidR="0022243A" w:rsidRPr="004C3B01" w:rsidRDefault="00CB5AF3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val="en-US" w:eastAsia="en-GB"/>
              </w:rPr>
            </w:pPr>
            <w:r>
              <w:rPr>
                <w:rFonts w:eastAsia="Times New Roman" w:cs="Sylfaen"/>
                <w:sz w:val="19"/>
                <w:szCs w:val="19"/>
                <w:lang w:val="en-US" w:eastAsia="en-GB"/>
              </w:rPr>
              <w:t>19</w:t>
            </w:r>
          </w:p>
        </w:tc>
        <w:tc>
          <w:tcPr>
            <w:tcW w:w="2063" w:type="dxa"/>
          </w:tcPr>
          <w:p w14:paraId="4C5B4DBA" w14:textId="7BF7E89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კონტროლირებული დაბალი სიმკვრივის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ქოლესტეროლი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დიაბეტით დაავადებულ პაციენტებში</w:t>
            </w:r>
          </w:p>
          <w:p w14:paraId="65C1B16F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</w:p>
        </w:tc>
        <w:tc>
          <w:tcPr>
            <w:tcW w:w="3375" w:type="dxa"/>
          </w:tcPr>
          <w:p w14:paraId="52C0D97F" w14:textId="2BB4D260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ტიპი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2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შაქრიანი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დიაბეტის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მქონე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&gt;18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წლის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პირთა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პროცენტული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მაჩვენებელი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რომელთა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ლიპიდური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სპექტრი  (დაბალი სიმკვრივის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ქოლე</w:t>
            </w:r>
            <w:r w:rsidR="00253F2C">
              <w:rPr>
                <w:rFonts w:eastAsia="Times New Roman" w:cs="Sylfaen"/>
                <w:sz w:val="19"/>
                <w:szCs w:val="19"/>
                <w:lang w:eastAsia="en-GB"/>
              </w:rPr>
              <w:t>ს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ტეროლი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) კონტროლირებულია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სტატინებით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მკურნალობის დაწყებიდან არაუადრეს 3 თვეში</w:t>
            </w:r>
          </w:p>
          <w:p w14:paraId="4B64C5BC" w14:textId="56CB44B5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ტიპი 2 დიაბეტის და გიდ-ის მქონე პაციენტებში მკურნალობის ეფექტურობის შეფასება</w:t>
            </w:r>
          </w:p>
        </w:tc>
        <w:tc>
          <w:tcPr>
            <w:tcW w:w="3826" w:type="dxa"/>
          </w:tcPr>
          <w:p w14:paraId="151A8114" w14:textId="166F9B30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: ტიპი 2 შაქრიანი დიაბეტით დაავადებულ 18 წლის და უფროს პირთა რაოდენობა, რომელთა  LDL  &lt; 55mg/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dl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ან &lt;1.8მმოლ/ლ დოკუმენტირებულია ანგარიშგების </w:t>
            </w:r>
            <w:r w:rsidR="006C67B2">
              <w:rPr>
                <w:rFonts w:eastAsia="Times New Roman" w:cs="Calibri"/>
                <w:sz w:val="19"/>
                <w:szCs w:val="19"/>
                <w:lang w:eastAsia="en-GB"/>
              </w:rPr>
              <w:t>პერიოდში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ჩატარებულ ბოლო ვიზიტზე </w:t>
            </w:r>
            <w:r w:rsidR="006C67B2">
              <w:rPr>
                <w:rFonts w:eastAsia="Times New Roman" w:cs="Calibri"/>
                <w:sz w:val="19"/>
                <w:szCs w:val="19"/>
                <w:lang w:eastAsia="en-GB"/>
              </w:rPr>
              <w:t>(</w:t>
            </w:r>
            <w:r w:rsidR="006C67B2" w:rsidRPr="004C3B01">
              <w:rPr>
                <w:rFonts w:eastAsia="Times New Roman" w:cs="Calibri"/>
                <w:sz w:val="19"/>
                <w:szCs w:val="19"/>
                <w:lang w:eastAsia="en-GB"/>
              </w:rPr>
              <w:t>არ მოიცავს პაციენტებს, რომლებიც დარეგისტრირდნენ 3 თვემდე პერიოდში).</w:t>
            </w:r>
          </w:p>
          <w:p w14:paraId="34D6A060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ტიპი 2 შაქრიანი დიაბეტით </w:t>
            </w:r>
            <w:r w:rsidRPr="004C3B01">
              <w:rPr>
                <w:rFonts w:eastAsia="Calibri" w:cs="Calibri"/>
                <w:sz w:val="19"/>
                <w:szCs w:val="19"/>
              </w:rPr>
              <w:t>პირთა რეესტრებში შესული ადამიანების რა-ბა, გარდა იმ პაციენტებისა, რომლებიც დარეგისტრირდნენ 3 თვემდე პერიოდში.</w:t>
            </w:r>
          </w:p>
          <w:p w14:paraId="73B37EA0" w14:textId="54CFE499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სქესი, ასაკი: 18-39; 40-49; 50-59; 60-69; 70-79; 80+</w:t>
            </w:r>
          </w:p>
        </w:tc>
        <w:tc>
          <w:tcPr>
            <w:tcW w:w="1869" w:type="dxa"/>
          </w:tcPr>
          <w:p w14:paraId="0C54D451" w14:textId="749D3639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74FC1680" w14:textId="101F7522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50%</w:t>
            </w:r>
          </w:p>
        </w:tc>
        <w:tc>
          <w:tcPr>
            <w:tcW w:w="1440" w:type="dxa"/>
          </w:tcPr>
          <w:p w14:paraId="10880C57" w14:textId="21DD5FC9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75%</w:t>
            </w:r>
          </w:p>
        </w:tc>
        <w:tc>
          <w:tcPr>
            <w:tcW w:w="1301" w:type="dxa"/>
          </w:tcPr>
          <w:p w14:paraId="4CB85138" w14:textId="50DBA24A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15EC6716" w14:textId="77777777" w:rsidTr="004C3B01">
        <w:trPr>
          <w:trHeight w:val="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610FA336" w14:textId="6B2F7733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val="en-US"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val="en-US" w:eastAsia="en-GB"/>
              </w:rPr>
              <w:t>2</w:t>
            </w:r>
            <w:r w:rsidR="00CB5AF3">
              <w:rPr>
                <w:rFonts w:eastAsia="Times New Roman" w:cs="Sylfaen"/>
                <w:sz w:val="19"/>
                <w:szCs w:val="19"/>
                <w:lang w:val="en-US" w:eastAsia="en-GB"/>
              </w:rPr>
              <w:t>0</w:t>
            </w:r>
          </w:p>
        </w:tc>
        <w:tc>
          <w:tcPr>
            <w:tcW w:w="2063" w:type="dxa"/>
          </w:tcPr>
          <w:p w14:paraId="103876A7" w14:textId="5494AE0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კონტროლირებული საერთო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ქოლე</w:t>
            </w:r>
            <w:r w:rsidR="000A0108">
              <w:rPr>
                <w:rFonts w:eastAsia="Times New Roman" w:cs="Sylfaen"/>
                <w:sz w:val="19"/>
                <w:szCs w:val="19"/>
                <w:lang w:eastAsia="en-GB"/>
              </w:rPr>
              <w:t>ს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ტეროლი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გიდ პაციენტებში</w:t>
            </w:r>
          </w:p>
          <w:p w14:paraId="612CA2B5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</w:p>
        </w:tc>
        <w:tc>
          <w:tcPr>
            <w:tcW w:w="3375" w:type="dxa"/>
          </w:tcPr>
          <w:p w14:paraId="086AE2E2" w14:textId="77777777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lastRenderedPageBreak/>
              <w:t>გიდ-ის მქონე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&gt;18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წლის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პირთა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პროცენტული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მაჩვენებელი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რომელთა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ლიპიდური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სპექტრი (საერთო ქოლესტერინი) კონტროლირებულია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სტატინებით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lastRenderedPageBreak/>
              <w:t>მკურნალობის დაწყებიდან არაუადრეს 3 თვეში</w:t>
            </w:r>
          </w:p>
          <w:p w14:paraId="078EA583" w14:textId="3869AE22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ტიპი 2 დიაბეტის და გიდ-ის მქონე პაციენტებში მკურნალობის ეფექტურობის შეფასება</w:t>
            </w:r>
          </w:p>
        </w:tc>
        <w:tc>
          <w:tcPr>
            <w:tcW w:w="3826" w:type="dxa"/>
          </w:tcPr>
          <w:p w14:paraId="0B47B24E" w14:textId="16A14494" w:rsidR="00C37666" w:rsidRPr="004C3B01" w:rsidRDefault="0022243A" w:rsidP="00C37666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lastRenderedPageBreak/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: გულის იშემიური დაავადების 18 წლის და უფროს პირთა რაოდენობა, რომელთა საერთო ქოლესტერინი &lt; 194mg/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dl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ან &lt;5მმოლ/ლ დოკუმენტირებულია ანგარიშგების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lastRenderedPageBreak/>
              <w:t>კვარტალში ჩატარებულ ბოლო ვიზიტზე</w:t>
            </w:r>
            <w:r w:rsidR="00C37666">
              <w:rPr>
                <w:rFonts w:eastAsia="Times New Roman" w:cs="Calibri"/>
                <w:sz w:val="19"/>
                <w:szCs w:val="19"/>
                <w:lang w:eastAsia="en-GB"/>
              </w:rPr>
              <w:t xml:space="preserve"> (</w:t>
            </w:r>
            <w:r w:rsidR="00C37666" w:rsidRPr="004C3B01">
              <w:rPr>
                <w:rFonts w:eastAsia="Times New Roman" w:cs="Calibri"/>
                <w:sz w:val="19"/>
                <w:szCs w:val="19"/>
                <w:lang w:eastAsia="en-GB"/>
              </w:rPr>
              <w:t>არ მოიცავს პაციენტებს, რომლებიც დარეგისტრირდნენ 3 თვემდე პერიოდში).</w:t>
            </w:r>
          </w:p>
          <w:p w14:paraId="7D8FDEBB" w14:textId="36E180A3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გულის იშემიური დაავადების</w:t>
            </w:r>
            <w:r w:rsidR="00DD7AB5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რეესტრში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(I20 სტენოკარდია; I21 მიოკარდიუმის მწვავე ინფარქტი; I22 მიოკარდიუმის განმეორებითი ინფარქტი; I23 მიოკარდიუმის მწვავე ინფარქტის შემდგომი ზოგიერთი გართულება; I24 გულის მწვავე იშემიური დაავადებების სხვა ფორმები; I25 - გულის ქრონიკული იშემიური დაავადება) </w:t>
            </w:r>
            <w:r w:rsidRPr="004C3B01">
              <w:rPr>
                <w:rFonts w:eastAsia="Calibri" w:cs="Calibri"/>
                <w:sz w:val="19"/>
                <w:szCs w:val="19"/>
              </w:rPr>
              <w:t>შესული ადამიანების რა-ბა, გარდა იმ პაციენტებისა, რომლებიც დარეგისტრირდნენ 3 თვემდე პერიოდში.</w:t>
            </w:r>
          </w:p>
          <w:p w14:paraId="51089A2A" w14:textId="2B70CFCA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სქესი, ასაკი: 18-39; 40-49; 50-59; 60-69; 70-79; 80+</w:t>
            </w:r>
          </w:p>
        </w:tc>
        <w:tc>
          <w:tcPr>
            <w:tcW w:w="1869" w:type="dxa"/>
          </w:tcPr>
          <w:p w14:paraId="20B28397" w14:textId="49905E7B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lastRenderedPageBreak/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3DA135C7" w14:textId="157A8A82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50%</w:t>
            </w:r>
          </w:p>
        </w:tc>
        <w:tc>
          <w:tcPr>
            <w:tcW w:w="1440" w:type="dxa"/>
          </w:tcPr>
          <w:p w14:paraId="245335BE" w14:textId="19205700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75%</w:t>
            </w:r>
          </w:p>
        </w:tc>
        <w:tc>
          <w:tcPr>
            <w:tcW w:w="1301" w:type="dxa"/>
          </w:tcPr>
          <w:p w14:paraId="57C0848A" w14:textId="538E5C3D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03E2557E" w14:textId="77777777" w:rsidTr="004C3B01">
        <w:trPr>
          <w:trHeight w:val="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6D76A725" w14:textId="791254E0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val="en-US"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val="en-US" w:eastAsia="en-GB"/>
              </w:rPr>
              <w:t>2</w:t>
            </w:r>
            <w:r w:rsidR="00CB5AF3">
              <w:rPr>
                <w:rFonts w:eastAsia="Times New Roman" w:cs="Sylfaen"/>
                <w:sz w:val="19"/>
                <w:szCs w:val="19"/>
                <w:lang w:val="en-US" w:eastAsia="en-GB"/>
              </w:rPr>
              <w:t>1</w:t>
            </w:r>
          </w:p>
        </w:tc>
        <w:tc>
          <w:tcPr>
            <w:tcW w:w="2063" w:type="dxa"/>
          </w:tcPr>
          <w:p w14:paraId="548BB994" w14:textId="19585F56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კონტროლირებული დაბალი სიმკვრივის </w:t>
            </w:r>
            <w:proofErr w:type="spellStart"/>
            <w:r w:rsidR="000A0108">
              <w:rPr>
                <w:rFonts w:eastAsia="Times New Roman" w:cs="Sylfaen"/>
                <w:sz w:val="19"/>
                <w:szCs w:val="19"/>
                <w:lang w:eastAsia="en-GB"/>
              </w:rPr>
              <w:t>ქოლესტეროლი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გიდ პაციენტებში</w:t>
            </w:r>
          </w:p>
          <w:p w14:paraId="0F5B5196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</w:p>
        </w:tc>
        <w:tc>
          <w:tcPr>
            <w:tcW w:w="3375" w:type="dxa"/>
          </w:tcPr>
          <w:p w14:paraId="3D55B3C5" w14:textId="4448DB5B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გიდ-ის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მქონე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&gt;18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წლის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პირთა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პროცენტული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მაჩვენებელი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რომელთა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ლიპიდური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სპექტრი (დაბალი სიმკვრივის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ქოლე</w:t>
            </w:r>
            <w:r w:rsidR="000A0108">
              <w:rPr>
                <w:rFonts w:eastAsia="Times New Roman" w:cs="Sylfaen"/>
                <w:sz w:val="19"/>
                <w:szCs w:val="19"/>
                <w:lang w:eastAsia="en-GB"/>
              </w:rPr>
              <w:t>ს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ტეროლი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) კონტროლირებულია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სტატინებით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მკურნალობის დაწყებიდან არაუადრეს 3 თვეში</w:t>
            </w:r>
          </w:p>
          <w:p w14:paraId="1BDE62F6" w14:textId="52A13842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გიდ-ის მქონე პაციენტებში მკურნალობის ეფექტურობის შეფასება</w:t>
            </w:r>
          </w:p>
        </w:tc>
        <w:tc>
          <w:tcPr>
            <w:tcW w:w="3826" w:type="dxa"/>
          </w:tcPr>
          <w:p w14:paraId="4A7D8EEC" w14:textId="0DF8222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: გულის იშემიური დაავადების 18 წლის და უფროს პირთა რაოდენობა, რომელთა LDL  &lt; 55mg/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dl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ან &lt;1.8მმოლ/ლ დოკუმენტირებულია ანგარიშგების </w:t>
            </w:r>
            <w:r w:rsidR="00EF3696">
              <w:rPr>
                <w:rFonts w:eastAsia="Times New Roman" w:cs="Calibri"/>
                <w:sz w:val="19"/>
                <w:szCs w:val="19"/>
                <w:lang w:eastAsia="en-GB"/>
              </w:rPr>
              <w:t>პერიოდში</w:t>
            </w:r>
            <w:r w:rsidR="00EF3696"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ჩატარებულ ბოლო ვიზიტზე </w:t>
            </w:r>
            <w:r w:rsidR="00C37666">
              <w:rPr>
                <w:rFonts w:eastAsia="Times New Roman" w:cs="Calibri"/>
                <w:sz w:val="19"/>
                <w:szCs w:val="19"/>
                <w:lang w:eastAsia="en-GB"/>
              </w:rPr>
              <w:t>(</w:t>
            </w:r>
            <w:r w:rsidR="00C37666" w:rsidRPr="004C3B01">
              <w:rPr>
                <w:rFonts w:eastAsia="Times New Roman" w:cs="Calibri"/>
                <w:sz w:val="19"/>
                <w:szCs w:val="19"/>
                <w:lang w:eastAsia="en-GB"/>
              </w:rPr>
              <w:t>არ მოიცავს პაციენტებს, რომლებიც დარეგისტრირდნენ 3 თვემდე პერიოდში).</w:t>
            </w:r>
          </w:p>
          <w:p w14:paraId="4DE0C22F" w14:textId="721BA376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გულის იშემიური დაავადების</w:t>
            </w:r>
            <w:r w:rsidR="00DD7AB5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რეგისტრში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(I20 სტენოკარდია; I21 მიოკარდიუმის მწვავე ინფარქტი; I22 მიოკარდიუმის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lastRenderedPageBreak/>
              <w:t xml:space="preserve">განმეორებითი ინფარქტი; I23 მიოკარდიუმის მწვავე ინფარქტის შემდგომი ზოგიერთი გართულება; I24 გულის მწვავე იშემიური დაავადებების სხვა ფორმები; I25 - გულის ქრონიკული იშემიური დაავადება) </w:t>
            </w:r>
            <w:r w:rsidRPr="004C3B01">
              <w:rPr>
                <w:rFonts w:eastAsia="Calibri" w:cs="Calibri"/>
                <w:sz w:val="19"/>
                <w:szCs w:val="19"/>
              </w:rPr>
              <w:t>შესული ადამიანების რა-ბა, გარდა იმ პაციენტებისა, რომლებიც დარეგისტრირდნენ 3 თვემდე პერიოდში.</w:t>
            </w:r>
          </w:p>
          <w:p w14:paraId="2780110F" w14:textId="419AD9F8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სქესი, ასაკი: 18-39; 40-49; 50-59; 60-69; 70-79; 80+</w:t>
            </w:r>
          </w:p>
        </w:tc>
        <w:tc>
          <w:tcPr>
            <w:tcW w:w="1869" w:type="dxa"/>
          </w:tcPr>
          <w:p w14:paraId="69A8A927" w14:textId="29DC3745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lastRenderedPageBreak/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23F7998D" w14:textId="5BC8DCC9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50%</w:t>
            </w:r>
          </w:p>
        </w:tc>
        <w:tc>
          <w:tcPr>
            <w:tcW w:w="1440" w:type="dxa"/>
          </w:tcPr>
          <w:p w14:paraId="18D84236" w14:textId="43CAE7B5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75%</w:t>
            </w:r>
          </w:p>
        </w:tc>
        <w:tc>
          <w:tcPr>
            <w:tcW w:w="1301" w:type="dxa"/>
          </w:tcPr>
          <w:p w14:paraId="75B4FDBA" w14:textId="75BB6DAD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4E042722" w14:textId="77777777" w:rsidTr="004C3B01">
        <w:trPr>
          <w:trHeight w:val="3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534EE843" w14:textId="252A20E6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val="en-US"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val="en-US" w:eastAsia="en-GB"/>
              </w:rPr>
              <w:t>2</w:t>
            </w:r>
            <w:r w:rsidR="00CB5AF3">
              <w:rPr>
                <w:rFonts w:eastAsia="Times New Roman" w:cs="Sylfaen"/>
                <w:sz w:val="19"/>
                <w:szCs w:val="19"/>
                <w:lang w:val="en-US" w:eastAsia="en-GB"/>
              </w:rPr>
              <w:t>2</w:t>
            </w:r>
          </w:p>
        </w:tc>
        <w:tc>
          <w:tcPr>
            <w:tcW w:w="2063" w:type="dxa"/>
          </w:tcPr>
          <w:p w14:paraId="7C90DBD2" w14:textId="49A446D2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კონტროლირებული საერთო </w:t>
            </w:r>
            <w:proofErr w:type="spellStart"/>
            <w:r w:rsidR="000A0108">
              <w:rPr>
                <w:rFonts w:eastAsia="Times New Roman" w:cs="Sylfaen"/>
                <w:sz w:val="19"/>
                <w:szCs w:val="19"/>
                <w:lang w:eastAsia="en-GB"/>
              </w:rPr>
              <w:t>ქოლესტეროლი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 CVD მაღალი რისკის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მქონე პაციენტებში</w:t>
            </w:r>
          </w:p>
        </w:tc>
        <w:tc>
          <w:tcPr>
            <w:tcW w:w="3375" w:type="dxa"/>
          </w:tcPr>
          <w:p w14:paraId="5C4E1221" w14:textId="5483A224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CVD მაღალი რისკის მქონე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&gt;18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წლის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პირთა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პროცენტული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მაჩვენებელი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რომელთა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ლიპიდური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სპექტრი (საერთო ქოლესტერინი) კონტროლირებულია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სტატინებით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მკურნალობის დაწყებიდან არაუადრეს 3 თვეში</w:t>
            </w:r>
          </w:p>
          <w:p w14:paraId="3A1A6C28" w14:textId="0E773B5B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CVD მაღალი რისკის მქონე პაციენტებში მკურნალობის ეფექტურობის შეფასება</w:t>
            </w:r>
          </w:p>
        </w:tc>
        <w:tc>
          <w:tcPr>
            <w:tcW w:w="3826" w:type="dxa"/>
          </w:tcPr>
          <w:p w14:paraId="5B0578A6" w14:textId="4524191D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CVD მაღალი რისკის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მქონე 18 წლის და უფროს პირთა რაოდენობა, რომელთა საერთო ქოლესტერინი &lt; 194mg/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dl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ან &lt;5მმოლ/ლ დოკუმენტირებულია ანგარიშგების </w:t>
            </w:r>
            <w:r w:rsidR="00C37666">
              <w:rPr>
                <w:rFonts w:eastAsia="Times New Roman" w:cs="Calibri"/>
                <w:sz w:val="19"/>
                <w:szCs w:val="19"/>
                <w:lang w:eastAsia="en-GB"/>
              </w:rPr>
              <w:t>პერიოდში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ბოლო ვიზიტზე </w:t>
            </w:r>
            <w:r w:rsidR="00C37666">
              <w:rPr>
                <w:rFonts w:eastAsia="Times New Roman" w:cs="Calibri"/>
                <w:sz w:val="19"/>
                <w:szCs w:val="19"/>
                <w:lang w:eastAsia="en-GB"/>
              </w:rPr>
              <w:t>(</w:t>
            </w:r>
            <w:r w:rsidR="00C37666" w:rsidRPr="004C3B01">
              <w:rPr>
                <w:rFonts w:eastAsia="Times New Roman" w:cs="Calibri"/>
                <w:sz w:val="19"/>
                <w:szCs w:val="19"/>
                <w:lang w:eastAsia="en-GB"/>
              </w:rPr>
              <w:t>არ მოიცავს პაციენტებს, რომლებიც დარეგისტრირდნენ 3 თვემდე პერიოდში).</w:t>
            </w:r>
          </w:p>
          <w:p w14:paraId="7BF2689E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CVD მაღალი რისკის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რეესტრში </w:t>
            </w:r>
            <w:r w:rsidRPr="004C3B01">
              <w:rPr>
                <w:rFonts w:eastAsia="Calibri" w:cs="Calibri"/>
                <w:sz w:val="19"/>
                <w:szCs w:val="19"/>
              </w:rPr>
              <w:t>შესული ადამიანების რა-ბა, გარდა იმ პაციენტებისა, რომლებიც დარეგისტრირდნენ 3 თვემდე პერიოდში.</w:t>
            </w:r>
          </w:p>
          <w:p w14:paraId="68E65EC6" w14:textId="774F753F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სქესი, ასაკი: 18-39; 40-49; 50-59; 60-69; 70-79; 80+</w:t>
            </w:r>
          </w:p>
        </w:tc>
        <w:tc>
          <w:tcPr>
            <w:tcW w:w="1869" w:type="dxa"/>
          </w:tcPr>
          <w:p w14:paraId="4A63E327" w14:textId="6367B6B5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</w:t>
            </w:r>
            <w:r w:rsidR="00091B31">
              <w:rPr>
                <w:rFonts w:cs="Sylfaen"/>
                <w:sz w:val="19"/>
                <w:szCs w:val="19"/>
              </w:rPr>
              <w:t>ვ</w:t>
            </w:r>
            <w:r w:rsidRPr="004C3B01">
              <w:rPr>
                <w:rFonts w:cs="Sylfaen"/>
                <w:sz w:val="19"/>
                <w:szCs w:val="19"/>
              </w:rPr>
              <w:t>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036D8F5E" w14:textId="15EE012A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50%</w:t>
            </w:r>
          </w:p>
        </w:tc>
        <w:tc>
          <w:tcPr>
            <w:tcW w:w="1440" w:type="dxa"/>
          </w:tcPr>
          <w:p w14:paraId="72318546" w14:textId="66AF5390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75%</w:t>
            </w:r>
          </w:p>
        </w:tc>
        <w:tc>
          <w:tcPr>
            <w:tcW w:w="1301" w:type="dxa"/>
          </w:tcPr>
          <w:p w14:paraId="56492DF4" w14:textId="0DB60E3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4716D415" w14:textId="77777777" w:rsidTr="004C3B01">
        <w:trPr>
          <w:trHeight w:val="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1D0DD4A4" w14:textId="28BDA499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val="en-US"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val="en-US" w:eastAsia="en-GB"/>
              </w:rPr>
              <w:t>2</w:t>
            </w:r>
            <w:r w:rsidR="00CB5AF3">
              <w:rPr>
                <w:rFonts w:eastAsia="Times New Roman" w:cs="Sylfaen"/>
                <w:sz w:val="19"/>
                <w:szCs w:val="19"/>
                <w:lang w:val="en-US" w:eastAsia="en-GB"/>
              </w:rPr>
              <w:t>3</w:t>
            </w:r>
          </w:p>
        </w:tc>
        <w:tc>
          <w:tcPr>
            <w:tcW w:w="2063" w:type="dxa"/>
          </w:tcPr>
          <w:p w14:paraId="662CFB7F" w14:textId="614E4BAD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კონტროლირებული დაბალი სიმკვრივის </w:t>
            </w:r>
            <w:proofErr w:type="spellStart"/>
            <w:r w:rsidR="000A0108">
              <w:rPr>
                <w:rFonts w:eastAsia="Times New Roman" w:cs="Sylfaen"/>
                <w:sz w:val="19"/>
                <w:szCs w:val="19"/>
                <w:lang w:eastAsia="en-GB"/>
              </w:rPr>
              <w:t>ქოლესტეროლი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lastRenderedPageBreak/>
              <w:t>CVD მაღალი რისკის პაციენტებში</w:t>
            </w:r>
          </w:p>
          <w:p w14:paraId="66B913E5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</w:p>
        </w:tc>
        <w:tc>
          <w:tcPr>
            <w:tcW w:w="3375" w:type="dxa"/>
          </w:tcPr>
          <w:p w14:paraId="653D3372" w14:textId="7B937C2F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lastRenderedPageBreak/>
              <w:t xml:space="preserve">CVD მაღალი რისკის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მქონე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&gt;18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წლის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პირთა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პროცენტული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მაჩვენებელი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რომელთა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ლიპიდური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სპექტრი (დაბალი სიმკვრივის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lastRenderedPageBreak/>
              <w:t>ქოლე</w:t>
            </w:r>
            <w:r w:rsidR="00253F2C">
              <w:rPr>
                <w:rFonts w:eastAsia="Times New Roman" w:cs="Sylfaen"/>
                <w:sz w:val="19"/>
                <w:szCs w:val="19"/>
                <w:lang w:eastAsia="en-GB"/>
              </w:rPr>
              <w:t>ს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ტეროლი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) კონტროლირებულია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სტატინებით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მკურნალობის დაწყებიდან არაუადრეს 3 თვეში</w:t>
            </w:r>
          </w:p>
          <w:p w14:paraId="77EB94E5" w14:textId="0934A491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CVD მაღალი რისკის მქონე პაციენტებში მკურნალობის ეფექტურობის შეფასება</w:t>
            </w:r>
          </w:p>
        </w:tc>
        <w:tc>
          <w:tcPr>
            <w:tcW w:w="3826" w:type="dxa"/>
          </w:tcPr>
          <w:p w14:paraId="60087AE4" w14:textId="14E437CB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lastRenderedPageBreak/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CVD მაღალი რისკის მქონე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18 წლის და უფროს პირთა რაოდენობა, რომელთა LDL  &lt; 55mg/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dl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ან &lt;1.8მმოლ/ლ დოკუმენტირებულია ანგარიშგების </w:t>
            </w:r>
            <w:r w:rsidR="00446F3B">
              <w:rPr>
                <w:rFonts w:eastAsia="Times New Roman" w:cs="Calibri"/>
                <w:sz w:val="19"/>
                <w:szCs w:val="19"/>
                <w:lang w:eastAsia="en-GB"/>
              </w:rPr>
              <w:lastRenderedPageBreak/>
              <w:t>პერიოდში</w:t>
            </w:r>
            <w:r w:rsidR="00446F3B"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ჩატარებულ ბოლო ვიზიტზე </w:t>
            </w:r>
            <w:r w:rsidR="0098635D">
              <w:rPr>
                <w:rFonts w:eastAsia="Times New Roman" w:cs="Calibri"/>
                <w:sz w:val="19"/>
                <w:szCs w:val="19"/>
                <w:lang w:eastAsia="en-GB"/>
              </w:rPr>
              <w:t>(</w:t>
            </w:r>
            <w:r w:rsidR="0098635D" w:rsidRPr="004C3B01">
              <w:rPr>
                <w:rFonts w:eastAsia="Times New Roman" w:cs="Calibri"/>
                <w:sz w:val="19"/>
                <w:szCs w:val="19"/>
                <w:lang w:eastAsia="en-GB"/>
              </w:rPr>
              <w:t>არ მოიცავს პაციენტებს, რომლებიც დარეგისტრირდნენ 3 თვემდე პერიოდში).</w:t>
            </w:r>
          </w:p>
          <w:p w14:paraId="405F7863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CVD მაღალი რისკის </w:t>
            </w:r>
            <w:r w:rsidRPr="004C3B01">
              <w:rPr>
                <w:rFonts w:eastAsia="Calibri" w:cs="Calibri"/>
                <w:sz w:val="19"/>
                <w:szCs w:val="19"/>
              </w:rPr>
              <w:t>მქონე რეესტრში შესული ადამიანების რა-ბა, გარდა იმ პაციენტებისა, რომლებიც დარეგისტრირდნენ 3 თვემდე პერიოდში.</w:t>
            </w:r>
          </w:p>
          <w:p w14:paraId="5DEADBDB" w14:textId="399CC35C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სქესი, ასაკი: 18-39; 40-49; 50-59; 60-69; 70-79; 80+</w:t>
            </w:r>
          </w:p>
        </w:tc>
        <w:tc>
          <w:tcPr>
            <w:tcW w:w="1869" w:type="dxa"/>
          </w:tcPr>
          <w:p w14:paraId="3E392184" w14:textId="5178FC39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lastRenderedPageBreak/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</w:t>
            </w:r>
            <w:r w:rsidR="00091B31">
              <w:rPr>
                <w:rFonts w:cs="Sylfaen"/>
                <w:sz w:val="19"/>
                <w:szCs w:val="19"/>
              </w:rPr>
              <w:t>ვ</w:t>
            </w:r>
            <w:r w:rsidRPr="004C3B01">
              <w:rPr>
                <w:rFonts w:cs="Sylfaen"/>
                <w:sz w:val="19"/>
                <w:szCs w:val="19"/>
              </w:rPr>
              <w:t>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lastRenderedPageBreak/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562174A0" w14:textId="2F8DC05E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lastRenderedPageBreak/>
              <w:t>50%</w:t>
            </w:r>
          </w:p>
        </w:tc>
        <w:tc>
          <w:tcPr>
            <w:tcW w:w="1440" w:type="dxa"/>
          </w:tcPr>
          <w:p w14:paraId="601D67BE" w14:textId="6C19A5CB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75%</w:t>
            </w:r>
          </w:p>
        </w:tc>
        <w:tc>
          <w:tcPr>
            <w:tcW w:w="1301" w:type="dxa"/>
          </w:tcPr>
          <w:p w14:paraId="2ABE3462" w14:textId="5ECF44D6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655F0592" w14:textId="77777777" w:rsidTr="004C3B01">
        <w:trPr>
          <w:trHeight w:val="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33211723" w14:textId="1FC00582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val="en-US"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val="en-US" w:eastAsia="en-GB"/>
              </w:rPr>
              <w:t>2</w:t>
            </w:r>
            <w:r w:rsidR="00CB5AF3">
              <w:rPr>
                <w:rFonts w:eastAsia="Times New Roman" w:cs="Sylfaen"/>
                <w:sz w:val="19"/>
                <w:szCs w:val="19"/>
                <w:lang w:val="en-US" w:eastAsia="en-GB"/>
              </w:rPr>
              <w:t>4</w:t>
            </w:r>
          </w:p>
        </w:tc>
        <w:tc>
          <w:tcPr>
            <w:tcW w:w="2063" w:type="dxa"/>
          </w:tcPr>
          <w:p w14:paraId="26C35962" w14:textId="36A355D8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ქრონიკული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ჰიპერტენზიის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გამო დანიშნული მკურნალობა </w:t>
            </w:r>
          </w:p>
        </w:tc>
        <w:tc>
          <w:tcPr>
            <w:tcW w:w="3375" w:type="dxa"/>
          </w:tcPr>
          <w:p w14:paraId="3A17BEA4" w14:textId="0A6C8CBA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ჰიპერტენზიით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(I10- I15) დაავადებულ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დაავადებულ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18 წლის და უფროსი </w:t>
            </w:r>
            <w:r w:rsidR="000A0108">
              <w:rPr>
                <w:rFonts w:eastAsia="Times New Roman" w:cs="Calibri"/>
                <w:sz w:val="19"/>
                <w:szCs w:val="19"/>
                <w:lang w:eastAsia="en-GB"/>
              </w:rPr>
              <w:t xml:space="preserve">ასაკის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პაციენტების პროცენტული მაჩვენებელი, რომელთაც დაენიშნათ მკურნალობა </w:t>
            </w:r>
          </w:p>
          <w:p w14:paraId="2F48DAC5" w14:textId="6C8E38E0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შედეგის ინდიკატორი კლინიკური ეფექტურობის გასაზომად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ჰიპერტენზიით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დაავადებულ პაციენტებში</w:t>
            </w:r>
          </w:p>
        </w:tc>
        <w:tc>
          <w:tcPr>
            <w:tcW w:w="3826" w:type="dxa"/>
          </w:tcPr>
          <w:p w14:paraId="52D5802F" w14:textId="77777777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ჰიპერტენზიით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დაავადებულ 18 წლის და უფროს პირთა რაოდენობა, რომელთაც დაფიქსირებული აქვთ მკურნალობა e-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prescripiton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-ში სულ მცირე ერთი მედიკამენტით ან კომბინაციით: (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ანგიოტენზინგარდამქმნელი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ფერმენტის ინჰიბიტორები (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აგფ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-ი),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ანგიოტენზინის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რეცეპტორების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ბლოკერების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(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არბ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), კალციუმის არხების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ბლოკერები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(კაბ),  ბეტა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ბლოკერები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თიაზიდური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დიურეტიკები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)</w:t>
            </w:r>
          </w:p>
          <w:p w14:paraId="63A37159" w14:textId="123D1A73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მნიშვნელი: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ჰიპერტენზიის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დაავადებულ </w:t>
            </w:r>
            <w:r w:rsidRPr="004C3B01">
              <w:rPr>
                <w:rFonts w:eastAsia="Calibri" w:cs="Calibri"/>
                <w:sz w:val="19"/>
                <w:szCs w:val="19"/>
              </w:rPr>
              <w:t>პირთა რეესტრში შესული ადამიანების რა-ბა X 100</w:t>
            </w:r>
          </w:p>
          <w:p w14:paraId="489767D0" w14:textId="792C368B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სქესი,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ასაკი: 18-39; 40-49; 50-59; 60-69; 70-79; 80+</w:t>
            </w:r>
          </w:p>
        </w:tc>
        <w:tc>
          <w:tcPr>
            <w:tcW w:w="1869" w:type="dxa"/>
          </w:tcPr>
          <w:p w14:paraId="743DADC3" w14:textId="3474ADBB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16A9EF32" w14:textId="7B39A703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50%</w:t>
            </w:r>
          </w:p>
        </w:tc>
        <w:tc>
          <w:tcPr>
            <w:tcW w:w="1440" w:type="dxa"/>
          </w:tcPr>
          <w:p w14:paraId="20219D19" w14:textId="6DC91440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80%</w:t>
            </w:r>
          </w:p>
        </w:tc>
        <w:tc>
          <w:tcPr>
            <w:tcW w:w="1301" w:type="dxa"/>
          </w:tcPr>
          <w:p w14:paraId="4F6959AA" w14:textId="4FCF61EC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648FD3A6" w14:textId="77777777" w:rsidTr="004C3B01">
        <w:trPr>
          <w:trHeight w:val="9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1C2001C8" w14:textId="28B712D9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val="en-US"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val="en-US" w:eastAsia="en-GB"/>
              </w:rPr>
              <w:lastRenderedPageBreak/>
              <w:t>2</w:t>
            </w:r>
            <w:r w:rsidR="00CB5AF3">
              <w:rPr>
                <w:rFonts w:eastAsia="Times New Roman" w:cs="Sylfaen"/>
                <w:sz w:val="19"/>
                <w:szCs w:val="19"/>
                <w:lang w:val="en-US" w:eastAsia="en-GB"/>
              </w:rPr>
              <w:t>5</w:t>
            </w:r>
          </w:p>
        </w:tc>
        <w:tc>
          <w:tcPr>
            <w:tcW w:w="2063" w:type="dxa"/>
          </w:tcPr>
          <w:p w14:paraId="12F125D5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კარდიოვასკულარული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დაავადების (CVD) რისკის შეფასება 40 და უფროსი ასაკის პაციენტებში</w:t>
            </w:r>
          </w:p>
        </w:tc>
        <w:tc>
          <w:tcPr>
            <w:tcW w:w="3375" w:type="dxa"/>
          </w:tcPr>
          <w:p w14:paraId="48451D7E" w14:textId="77777777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40 წლის და უფროსი ასაკის პაციენტების პროცენტული მაჩვენებელი, რომელთაც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დაუდგინდათ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CVD რისკი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ჯანმოს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რისკის შეფასების არა-ლაბორატორიული ინსტრუმენტის გამოყენებით (ასაკი, სქესი,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მწეველობის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სტატუსი, სისხლის სისტოლური წნევა, BMI) </w:t>
            </w:r>
          </w:p>
          <w:p w14:paraId="1E893EB2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აფასებს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ჯანმოს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CVD რისკს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ჯანმოს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შეფასების ინსტრუმენტის გამოყენებას </w:t>
            </w:r>
          </w:p>
          <w:p w14:paraId="1236F6ED" w14:textId="4D2C6DFE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დასაბუთება </w:t>
            </w:r>
            <w:r w:rsidR="00EE77A0">
              <w:rPr>
                <w:rStyle w:val="FootnoteReference"/>
                <w:rFonts w:eastAsia="Times New Roman" w:cs="Sylfaen"/>
                <w:sz w:val="19"/>
                <w:szCs w:val="19"/>
                <w:lang w:eastAsia="en-GB"/>
              </w:rPr>
              <w:footnoteReference w:id="5"/>
            </w:r>
            <w:r w:rsidR="00AA164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</w:p>
        </w:tc>
        <w:tc>
          <w:tcPr>
            <w:tcW w:w="3826" w:type="dxa"/>
          </w:tcPr>
          <w:p w14:paraId="61ABA7C7" w14:textId="77777777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მრიცხველი: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40 წლის და უფროსი ასაკის  პაციენტები, რომლებსაც არ ჰქონდათ CVD რისკის შეფასების ისტორია ბოლო 12 თვის განმავლობაში, რომლებსაც ჩაუტარდა ვიზიტი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დაწესებულებაში და შეფასდნენ CVD რისკზე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ჯანმოს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CVD რისკის დიაგრამების გამოყენებით.</w:t>
            </w:r>
          </w:p>
          <w:p w14:paraId="11507AA7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40 წლის და უფროსი ასაკის  პაციენტები, რომლებსაც არ ჰქონდათ CVD რისკის შეფასების ისტორია ბოლო 12 თვის განმავლობაში</w:t>
            </w:r>
          </w:p>
          <w:p w14:paraId="577E07B9" w14:textId="77777777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სქესი,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ასაკი: 40-49; 50-59; 60-69; 70-79; 80+</w:t>
            </w:r>
          </w:p>
        </w:tc>
        <w:tc>
          <w:tcPr>
            <w:tcW w:w="1869" w:type="dxa"/>
          </w:tcPr>
          <w:p w14:paraId="18FB20BF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7523FF5F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70%</w:t>
            </w:r>
          </w:p>
        </w:tc>
        <w:tc>
          <w:tcPr>
            <w:tcW w:w="1440" w:type="dxa"/>
          </w:tcPr>
          <w:p w14:paraId="0108E45D" w14:textId="77777777" w:rsidR="0022243A" w:rsidRPr="004C3B01" w:rsidRDefault="0022243A" w:rsidP="004C3B01">
            <w:pPr>
              <w:tabs>
                <w:tab w:val="left" w:pos="566"/>
              </w:tabs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90%</w:t>
            </w:r>
          </w:p>
        </w:tc>
        <w:tc>
          <w:tcPr>
            <w:tcW w:w="1301" w:type="dxa"/>
          </w:tcPr>
          <w:p w14:paraId="4D2D7935" w14:textId="1753CE7C" w:rsidR="0022243A" w:rsidRPr="004C3B01" w:rsidRDefault="0022243A" w:rsidP="004C3B01">
            <w:pPr>
              <w:tabs>
                <w:tab w:val="left" w:pos="566"/>
              </w:tabs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6A9ADE03" w14:textId="77777777" w:rsidTr="00D0503C">
        <w:trPr>
          <w:trHeight w:val="12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7CB77419" w14:textId="4466429D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2</w:t>
            </w:r>
            <w:r w:rsidR="00CB5AF3">
              <w:rPr>
                <w:rFonts w:eastAsia="Times New Roman" w:cs="Sylfaen"/>
                <w:sz w:val="19"/>
                <w:szCs w:val="19"/>
                <w:lang w:eastAsia="en-GB"/>
              </w:rPr>
              <w:t>6</w:t>
            </w:r>
          </w:p>
        </w:tc>
        <w:tc>
          <w:tcPr>
            <w:tcW w:w="2063" w:type="dxa"/>
            <w:shd w:val="clear" w:color="auto" w:fill="auto"/>
          </w:tcPr>
          <w:p w14:paraId="24EDD965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გიდ დაავადების/CVD მაღალი რისკის გამო დანიშნული მკურნალობა</w:t>
            </w:r>
          </w:p>
        </w:tc>
        <w:tc>
          <w:tcPr>
            <w:tcW w:w="3375" w:type="dxa"/>
          </w:tcPr>
          <w:p w14:paraId="53B9CA56" w14:textId="38E07385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გიდ დაავადების/ CVD მაღალი რისკის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18 წლის და უფროსი </w:t>
            </w:r>
            <w:r w:rsidR="000A0108">
              <w:rPr>
                <w:rFonts w:eastAsia="Times New Roman" w:cs="Calibri"/>
                <w:sz w:val="19"/>
                <w:szCs w:val="19"/>
                <w:lang w:eastAsia="en-GB"/>
              </w:rPr>
              <w:t xml:space="preserve">ასაკის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პაციენტების პროცენტული მაჩვენებელი, რომელთაც დაენიშნათ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ასპირინით, ალტერნატიული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ანტიაგრეგაციული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ან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ანტიკოაგულანტებით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მკურნალობა</w:t>
            </w:r>
          </w:p>
          <w:p w14:paraId="19942C7F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შედეგის ინდიკატორი კლინიკური ეფექტურობის გასაზომად გიდ დაავადების/CVD მაღალი რისკის მქონე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პაციენტებში</w:t>
            </w:r>
          </w:p>
        </w:tc>
        <w:tc>
          <w:tcPr>
            <w:tcW w:w="3826" w:type="dxa"/>
          </w:tcPr>
          <w:p w14:paraId="647BC326" w14:textId="77777777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გიდ დაავადების/ CVD მაღალი რისკის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18 წლის და უფროს პირთა რაოდენობა, რომელთაც დაფიქსირებული აქვთ მკურნალობა e-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prescripiton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-ში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ასპირინით, ან ალტერნატიული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ანტიაგრეგაციული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საშუალებებით ან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ანტიკოაგულანტებით</w:t>
            </w:r>
            <w:proofErr w:type="spellEnd"/>
          </w:p>
          <w:p w14:paraId="7AFA7FCA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მნიშვნელი: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გიდ დაავადების/ CVD მაღალი რისკის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დაავადებულ </w:t>
            </w:r>
            <w:r w:rsidRPr="004C3B01">
              <w:rPr>
                <w:rFonts w:eastAsia="Calibri" w:cs="Calibri"/>
                <w:sz w:val="19"/>
                <w:szCs w:val="19"/>
              </w:rPr>
              <w:t>პირთა რეესტრებში შესული ადამიანების რა-ბა X 100</w:t>
            </w:r>
          </w:p>
          <w:p w14:paraId="7705534D" w14:textId="77777777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D0503C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lastRenderedPageBreak/>
              <w:t>დეზაგრეგაცია</w:t>
            </w:r>
            <w:proofErr w:type="spellEnd"/>
            <w:r w:rsidRPr="00D0503C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სქესი,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ასაკი: 18-39; 40-49; 50-59; 60-69; 70-79; 80+</w:t>
            </w:r>
          </w:p>
        </w:tc>
        <w:tc>
          <w:tcPr>
            <w:tcW w:w="1869" w:type="dxa"/>
          </w:tcPr>
          <w:p w14:paraId="2259B8F8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lastRenderedPageBreak/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6719CFA4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50%</w:t>
            </w:r>
          </w:p>
        </w:tc>
        <w:tc>
          <w:tcPr>
            <w:tcW w:w="1440" w:type="dxa"/>
          </w:tcPr>
          <w:p w14:paraId="643FC6B4" w14:textId="77777777" w:rsidR="0022243A" w:rsidRPr="004C3B01" w:rsidRDefault="0022243A" w:rsidP="004C3B01">
            <w:pPr>
              <w:tabs>
                <w:tab w:val="left" w:pos="566"/>
              </w:tabs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80%</w:t>
            </w:r>
          </w:p>
        </w:tc>
        <w:tc>
          <w:tcPr>
            <w:tcW w:w="1301" w:type="dxa"/>
          </w:tcPr>
          <w:p w14:paraId="7DB6D874" w14:textId="2B5D54FB" w:rsidR="0022243A" w:rsidRPr="004C3B01" w:rsidRDefault="0022243A" w:rsidP="004C3B01">
            <w:pPr>
              <w:tabs>
                <w:tab w:val="left" w:pos="566"/>
              </w:tabs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18C3C334" w14:textId="77777777" w:rsidTr="004C3B01">
        <w:trPr>
          <w:trHeight w:val="1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7F88E1A5" w14:textId="4ED4331B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val="en-US"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val="en-US" w:eastAsia="en-GB"/>
              </w:rPr>
              <w:t>2</w:t>
            </w:r>
            <w:r w:rsidR="00CB5AF3">
              <w:rPr>
                <w:rFonts w:eastAsia="Times New Roman" w:cs="Sylfaen"/>
                <w:sz w:val="19"/>
                <w:szCs w:val="19"/>
                <w:lang w:val="en-US" w:eastAsia="en-GB"/>
              </w:rPr>
              <w:t>7</w:t>
            </w:r>
          </w:p>
        </w:tc>
        <w:tc>
          <w:tcPr>
            <w:tcW w:w="2063" w:type="dxa"/>
            <w:shd w:val="clear" w:color="auto" w:fill="auto"/>
          </w:tcPr>
          <w:p w14:paraId="414582FC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ასთმის პრევენციული მკურნალობა</w:t>
            </w:r>
          </w:p>
        </w:tc>
        <w:tc>
          <w:tcPr>
            <w:tcW w:w="3375" w:type="dxa"/>
          </w:tcPr>
          <w:p w14:paraId="22BEC3C2" w14:textId="58650898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ასთმის მაღალი რისკის 18 წლის </w:t>
            </w:r>
            <w:r w:rsidR="000A0108">
              <w:rPr>
                <w:rFonts w:eastAsia="Times New Roman" w:cs="Sylfaen"/>
                <w:sz w:val="19"/>
                <w:szCs w:val="19"/>
                <w:lang w:eastAsia="en-GB"/>
              </w:rPr>
              <w:t xml:space="preserve">ასაკის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პაციენტების პროცენტული მაჩვენებელი, რომელთაც დაენიშნათ პროტოკოლით გათვალისწინებული პრევენციული მკურნალობა</w:t>
            </w:r>
          </w:p>
        </w:tc>
        <w:tc>
          <w:tcPr>
            <w:tcW w:w="3826" w:type="dxa"/>
          </w:tcPr>
          <w:p w14:paraId="0B68A486" w14:textId="77777777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მრიცხველი: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ასთმის მაღალი რისკის 18 წლის და უფროს პირთა რაოდენობა, რომელთაც დაფიქსირებული აქვთ მკურნალობა e-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prescripiton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-ში პროტოკოლით გათვალისწინებული მედიკამენტით</w:t>
            </w:r>
          </w:p>
          <w:p w14:paraId="66ABB368" w14:textId="2FE96BB4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ასთმით  დაავადებულ პირთა რეესტრში შესული ადამიანების რა-ბა X 100</w:t>
            </w:r>
          </w:p>
          <w:p w14:paraId="640E90D8" w14:textId="77777777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D0503C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D0503C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სქესი,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პროვაიდერი, ასაკი: 18-39; 40-49; 50-59; 60-69; 70-79; </w:t>
            </w:r>
          </w:p>
        </w:tc>
        <w:tc>
          <w:tcPr>
            <w:tcW w:w="1869" w:type="dxa"/>
          </w:tcPr>
          <w:p w14:paraId="1DD7962C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ylfaen"/>
                <w:sz w:val="19"/>
                <w:szCs w:val="19"/>
              </w:rPr>
            </w:pPr>
            <w:r w:rsidRPr="004C3B01">
              <w:rPr>
                <w:rFonts w:cs="Sylfaen"/>
                <w:sz w:val="19"/>
                <w:szCs w:val="19"/>
              </w:rPr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72A8D871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50%</w:t>
            </w:r>
          </w:p>
        </w:tc>
        <w:tc>
          <w:tcPr>
            <w:tcW w:w="1440" w:type="dxa"/>
          </w:tcPr>
          <w:p w14:paraId="52846BAC" w14:textId="77777777" w:rsidR="0022243A" w:rsidRPr="004C3B01" w:rsidRDefault="0022243A" w:rsidP="004C3B01">
            <w:pPr>
              <w:tabs>
                <w:tab w:val="left" w:pos="566"/>
              </w:tabs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60%</w:t>
            </w:r>
          </w:p>
        </w:tc>
        <w:tc>
          <w:tcPr>
            <w:tcW w:w="1301" w:type="dxa"/>
          </w:tcPr>
          <w:p w14:paraId="3D2392CE" w14:textId="0A2E9BFB" w:rsidR="0022243A" w:rsidRPr="004C3B01" w:rsidRDefault="0022243A" w:rsidP="004C3B01">
            <w:pPr>
              <w:tabs>
                <w:tab w:val="left" w:pos="566"/>
              </w:tabs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46841981" w14:textId="77777777" w:rsidTr="004C3B01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40D547E6" w14:textId="0FB4B505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val="en-US"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val="en-US" w:eastAsia="en-GB"/>
              </w:rPr>
              <w:t>2</w:t>
            </w:r>
            <w:r w:rsidR="00CB5AF3">
              <w:rPr>
                <w:rFonts w:eastAsia="Times New Roman" w:cs="Sylfaen"/>
                <w:sz w:val="19"/>
                <w:szCs w:val="19"/>
                <w:lang w:val="en-US" w:eastAsia="en-GB"/>
              </w:rPr>
              <w:t>8</w:t>
            </w:r>
          </w:p>
        </w:tc>
        <w:tc>
          <w:tcPr>
            <w:tcW w:w="2063" w:type="dxa"/>
            <w:shd w:val="clear" w:color="auto" w:fill="auto"/>
          </w:tcPr>
          <w:p w14:paraId="513429A8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ფქოდ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-ის  პრევენციული დაავადებების მკურნალობა</w:t>
            </w:r>
          </w:p>
        </w:tc>
        <w:tc>
          <w:tcPr>
            <w:tcW w:w="3375" w:type="dxa"/>
          </w:tcPr>
          <w:p w14:paraId="592EE979" w14:textId="6C17D1E7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ფქოდ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-ის მაღალი რისკის 18 წლის და უფროსი </w:t>
            </w:r>
            <w:r w:rsidR="000A0108">
              <w:rPr>
                <w:rFonts w:eastAsia="Times New Roman" w:cs="Sylfaen"/>
                <w:sz w:val="19"/>
                <w:szCs w:val="19"/>
                <w:lang w:eastAsia="en-GB"/>
              </w:rPr>
              <w:t xml:space="preserve">ასაკის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პაციენტების პროცენტული მაჩვენებელი, რომელთაც დაენიშნათ პროტოკოლით გათვალისწინებული პრევენციული მკურნალობა</w:t>
            </w:r>
          </w:p>
        </w:tc>
        <w:tc>
          <w:tcPr>
            <w:tcW w:w="3826" w:type="dxa"/>
          </w:tcPr>
          <w:p w14:paraId="77BF9FD2" w14:textId="77777777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მრიცხველი: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ფქოდის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მაღალი რისკის 18 წლის და უფროს პირთა რაოდენობა, რომელთაც დაფიქსირებული აქვთ მკურნალობა e-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prescripiton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-ში პროტოკოლით გათვალისწინებული მედიკამენტით</w:t>
            </w:r>
          </w:p>
          <w:p w14:paraId="2FA1088B" w14:textId="24517509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მნიშვნელი: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ფქოდ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-ის რეესტრში შესული ადამიანების რა-ბა X 100</w:t>
            </w:r>
          </w:p>
          <w:p w14:paraId="4FD18CD2" w14:textId="77777777" w:rsidR="0022243A" w:rsidRPr="004C3B01" w:rsidRDefault="0022243A" w:rsidP="004C3B01">
            <w:pPr>
              <w:shd w:val="clear" w:color="auto" w:fill="FFFFFF"/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D0503C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D0503C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სქესი,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პროვაიდერი, ასაკი: 18-39; 40-49; 50-59; 60-69; 70-79; 80+</w:t>
            </w:r>
          </w:p>
        </w:tc>
        <w:tc>
          <w:tcPr>
            <w:tcW w:w="1869" w:type="dxa"/>
          </w:tcPr>
          <w:p w14:paraId="35142357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ylfaen"/>
                <w:sz w:val="19"/>
                <w:szCs w:val="19"/>
              </w:rPr>
            </w:pPr>
            <w:r w:rsidRPr="004C3B01">
              <w:rPr>
                <w:rFonts w:cs="Sylfaen"/>
                <w:sz w:val="19"/>
                <w:szCs w:val="19"/>
              </w:rPr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609C8C48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50%</w:t>
            </w:r>
          </w:p>
        </w:tc>
        <w:tc>
          <w:tcPr>
            <w:tcW w:w="1440" w:type="dxa"/>
          </w:tcPr>
          <w:p w14:paraId="70BE9187" w14:textId="77777777" w:rsidR="0022243A" w:rsidRPr="004C3B01" w:rsidRDefault="0022243A" w:rsidP="004C3B01">
            <w:pPr>
              <w:tabs>
                <w:tab w:val="left" w:pos="566"/>
              </w:tabs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60%</w:t>
            </w:r>
          </w:p>
        </w:tc>
        <w:tc>
          <w:tcPr>
            <w:tcW w:w="1301" w:type="dxa"/>
          </w:tcPr>
          <w:p w14:paraId="59E1CD0C" w14:textId="02505F90" w:rsidR="0022243A" w:rsidRPr="004C3B01" w:rsidRDefault="0022243A" w:rsidP="004C3B01">
            <w:pPr>
              <w:tabs>
                <w:tab w:val="left" w:pos="566"/>
              </w:tabs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სამინისტრო  PHC C-EMR</w:t>
            </w:r>
          </w:p>
        </w:tc>
      </w:tr>
      <w:tr w:rsidR="0022243A" w:rsidRPr="004C3B01" w14:paraId="4BE07A15" w14:textId="77777777" w:rsidTr="004C3B01">
        <w:trPr>
          <w:trHeight w:val="1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5FAF22A2" w14:textId="41BBE3A1" w:rsidR="0022243A" w:rsidRPr="004C3B01" w:rsidRDefault="00CB5AF3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>
              <w:rPr>
                <w:rFonts w:eastAsia="Times New Roman" w:cs="Calibri"/>
                <w:sz w:val="19"/>
                <w:szCs w:val="19"/>
                <w:lang w:eastAsia="en-GB"/>
              </w:rPr>
              <w:lastRenderedPageBreak/>
              <w:t>29</w:t>
            </w:r>
          </w:p>
        </w:tc>
        <w:tc>
          <w:tcPr>
            <w:tcW w:w="2063" w:type="dxa"/>
          </w:tcPr>
          <w:p w14:paraId="5CD07E5C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ჩვილ ბავშვთა ჯანმრთელობასა და განვითარებაზე ზედამხედველობა</w:t>
            </w:r>
          </w:p>
        </w:tc>
        <w:tc>
          <w:tcPr>
            <w:tcW w:w="3375" w:type="dxa"/>
          </w:tcPr>
          <w:p w14:paraId="458C83A3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1 წლამდე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ასაკის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ბავშვთა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პროცენტული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მაჩვენებელი,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რომელთაც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-ში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რეგისტრაციიდან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22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სამუშაო დღის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განმავლობაში ჩაუტარდათ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ექთნის/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ექიმის მიერ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ჯანმრთელობასა და განვითარებაზე ზედამხედველობის ვიზიტი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.</w:t>
            </w:r>
          </w:p>
          <w:p w14:paraId="3AA2D37D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ზომავს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პროვაიდერის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მიერ ბავშვის რეგისტრაციაზე აყვანიდან ზედამხედველობის დროულ დაწყებას. </w:t>
            </w:r>
          </w:p>
          <w:p w14:paraId="139842FF" w14:textId="45C1AAF4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დასაბუთება </w:t>
            </w:r>
            <w:bookmarkStart w:id="3" w:name="_Ref194249898"/>
            <w:r w:rsidR="00AA1641">
              <w:rPr>
                <w:rStyle w:val="FootnoteReference"/>
                <w:rFonts w:eastAsia="Times New Roman" w:cs="Sylfaen"/>
                <w:sz w:val="19"/>
                <w:szCs w:val="19"/>
                <w:lang w:eastAsia="en-GB"/>
              </w:rPr>
              <w:footnoteReference w:id="6"/>
            </w:r>
            <w:bookmarkEnd w:id="3"/>
          </w:p>
        </w:tc>
        <w:tc>
          <w:tcPr>
            <w:tcW w:w="3826" w:type="dxa"/>
          </w:tcPr>
          <w:p w14:paraId="534EE948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r w:rsidRPr="004C3B01">
              <w:rPr>
                <w:rFonts w:eastAsia="Calibri" w:cs="Calibri"/>
                <w:sz w:val="19"/>
                <w:szCs w:val="19"/>
              </w:rPr>
              <w:t>1 წლამდე ბავშვთა რა-ბა, რომელთაც ჯანმრთელობასა და განვითარებაზე ზედამხედველობის ვიზიტი ჩაუტარდათ ექთნის/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ექიმის მიერ </w:t>
            </w:r>
            <w:r w:rsidRPr="004C3B01">
              <w:rPr>
                <w:rFonts w:eastAsia="Calibri" w:cs="Calibri"/>
                <w:sz w:val="19"/>
                <w:szCs w:val="19"/>
              </w:rPr>
              <w:t>რეგისტრაციაზე აყვანიდან 22 სამუშაო დღეში.</w:t>
            </w:r>
          </w:p>
          <w:p w14:paraId="15585549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 რეგისტრაციაზე მყოფი 1 წლამდე ბავშვთა რა-ბა, რომლებიც ანგარიშგების პერიოდში არიან რეგისტრაციაზე სულ მცირე 1 თვის მანძილზე X 100</w:t>
            </w:r>
          </w:p>
          <w:p w14:paraId="5C66F628" w14:textId="4ABA911C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Sylfaen"/>
                <w:sz w:val="19"/>
                <w:szCs w:val="19"/>
                <w:vertAlign w:val="superscript"/>
                <w:lang w:eastAsia="en-GB"/>
              </w:rPr>
              <w:footnoteReference w:id="7"/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</w:t>
            </w:r>
          </w:p>
        </w:tc>
        <w:tc>
          <w:tcPr>
            <w:tcW w:w="1869" w:type="dxa"/>
          </w:tcPr>
          <w:p w14:paraId="74FE41E8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უნდა განისაზღვროს ინფორმაციის დაგროვებასთან ერთა</w:t>
            </w:r>
            <w:r w:rsidRPr="004C3B01">
              <w:rPr>
                <w:rFonts w:cs="Sylfaen"/>
                <w:sz w:val="19"/>
                <w:szCs w:val="19"/>
              </w:rPr>
              <w:t>დ</w:t>
            </w:r>
          </w:p>
        </w:tc>
        <w:tc>
          <w:tcPr>
            <w:tcW w:w="1404" w:type="dxa"/>
          </w:tcPr>
          <w:p w14:paraId="59335844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80%</w:t>
            </w:r>
          </w:p>
        </w:tc>
        <w:tc>
          <w:tcPr>
            <w:tcW w:w="1440" w:type="dxa"/>
          </w:tcPr>
          <w:p w14:paraId="21CE13A1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90%</w:t>
            </w:r>
          </w:p>
        </w:tc>
        <w:tc>
          <w:tcPr>
            <w:tcW w:w="1301" w:type="dxa"/>
          </w:tcPr>
          <w:p w14:paraId="79D3C2AE" w14:textId="0EC439BD" w:rsidR="0022243A" w:rsidRPr="004C3B01" w:rsidRDefault="00217A3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>
              <w:rPr>
                <w:sz w:val="19"/>
                <w:szCs w:val="19"/>
              </w:rPr>
              <w:t>დკსჯეც</w:t>
            </w:r>
            <w:proofErr w:type="spellEnd"/>
          </w:p>
        </w:tc>
      </w:tr>
      <w:tr w:rsidR="0022243A" w:rsidRPr="004C3B01" w14:paraId="366112F4" w14:textId="77777777" w:rsidTr="004C3B01">
        <w:trPr>
          <w:trHeight w:val="6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7DB84E9E" w14:textId="227EAF2F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val="en-US" w:eastAsia="en-GB"/>
              </w:rPr>
              <w:t>3</w:t>
            </w:r>
            <w:r w:rsidR="00CB5AF3">
              <w:rPr>
                <w:rFonts w:eastAsia="Times New Roman" w:cs="Sylfaen"/>
                <w:sz w:val="19"/>
                <w:szCs w:val="19"/>
                <w:lang w:eastAsia="en-GB"/>
              </w:rPr>
              <w:t>0</w:t>
            </w:r>
          </w:p>
        </w:tc>
        <w:tc>
          <w:tcPr>
            <w:tcW w:w="2063" w:type="dxa"/>
          </w:tcPr>
          <w:p w14:paraId="22ACFF2F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ახალშობილთა პატრონაჟი ბინაზე </w:t>
            </w:r>
          </w:p>
        </w:tc>
        <w:tc>
          <w:tcPr>
            <w:tcW w:w="3375" w:type="dxa"/>
          </w:tcPr>
          <w:p w14:paraId="61C6643F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1 წლამდე ასაკის ბავშვთა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პროცენტული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მაჩვენებელი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რომელთაც დაბადებიდან 14 სამუშაო დღის განმავლობაში ჩაუტარდათ ექიმის ვიზიტი ბინაზე.</w:t>
            </w:r>
          </w:p>
          <w:p w14:paraId="1300AB3E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ზომავს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პროვაიდერის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მიერ ახალშობილის დროულად აყვანას მეთვალყურეობაზე; და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lastRenderedPageBreak/>
              <w:t xml:space="preserve">დაბადებიდან პირველი ზედამხედველობის ვიზიტის დროულობას. </w:t>
            </w:r>
          </w:p>
          <w:p w14:paraId="1BB621A6" w14:textId="7E38596A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დასაბუთება</w:t>
            </w:r>
            <w:r w:rsidR="00E32847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="00AA164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begin"/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NOTEREF _Ref194249898 \h </w:instrText>
            </w:r>
            <w:r w:rsid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\* MERGEFORMAT </w:instrTex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separate"/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t>5</w: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end"/>
            </w:r>
            <w:r w:rsid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t xml:space="preserve">  </w:t>
            </w:r>
            <w:r w:rsidRPr="004C3B0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ootnoteReference w:id="8"/>
            </w:r>
          </w:p>
        </w:tc>
        <w:tc>
          <w:tcPr>
            <w:tcW w:w="3826" w:type="dxa"/>
          </w:tcPr>
          <w:p w14:paraId="353592A8" w14:textId="7C6343CC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lastRenderedPageBreak/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r w:rsidRPr="004C3B01">
              <w:rPr>
                <w:rFonts w:eastAsia="Calibri" w:cs="Calibri"/>
                <w:sz w:val="19"/>
                <w:szCs w:val="19"/>
              </w:rPr>
              <w:t>მოცვის არეალში ახალშობილ ბავშვთა რა-ბა, რომელთაც ექიმის მიერ ბინაზე პატრონაჟის ვიზიტი ჩაუტარდათ დაბადებიდან 14 სამუშაო დღეში.</w:t>
            </w:r>
            <w:r w:rsidR="00E32847">
              <w:rPr>
                <w:rStyle w:val="FootnoteReference"/>
                <w:rFonts w:eastAsia="Calibri" w:cs="Calibri"/>
                <w:sz w:val="19"/>
                <w:szCs w:val="19"/>
              </w:rPr>
              <w:footnoteReference w:id="9"/>
            </w:r>
          </w:p>
          <w:p w14:paraId="6347F718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 მოცვის არეალში ელექტრონულად რეგისტრირებულ 1 წლამდე ბავშვთა რა-ბა, რომლებიც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lastRenderedPageBreak/>
              <w:t>ანგარიშგების პერიოდში არიან რეგისტრაციაზე სულ მცირე 1 თვის მანძილზე X 100</w:t>
            </w:r>
          </w:p>
          <w:p w14:paraId="5ADF392C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მოცვის არეალი განისაზღვრება გეოგრაფიული პრინციპით.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 ელექტრონული რეგისტრაცია გულისხმობს ორსულთა და ახალშობილთა მეთვალყურეობის მოდულში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პროვაიდერის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მითითებას ახალშობილის შემდგომი მეთვალყურეობისთვის. X 100</w:t>
            </w:r>
          </w:p>
          <w:p w14:paraId="01050235" w14:textId="198AE694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</w:t>
            </w:r>
          </w:p>
        </w:tc>
        <w:tc>
          <w:tcPr>
            <w:tcW w:w="1869" w:type="dxa"/>
            <w:shd w:val="clear" w:color="auto" w:fill="auto"/>
          </w:tcPr>
          <w:p w14:paraId="383266D3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lastRenderedPageBreak/>
              <w:t>უნდა განისაზღვროს ინფორმაციის დაგროვებასთან ერთა</w:t>
            </w:r>
            <w:r w:rsidRPr="004C3B01">
              <w:rPr>
                <w:rFonts w:cs="Sylfaen"/>
                <w:sz w:val="19"/>
                <w:szCs w:val="19"/>
              </w:rPr>
              <w:t>დ</w:t>
            </w:r>
          </w:p>
        </w:tc>
        <w:tc>
          <w:tcPr>
            <w:tcW w:w="1404" w:type="dxa"/>
            <w:shd w:val="clear" w:color="auto" w:fill="auto"/>
          </w:tcPr>
          <w:p w14:paraId="009F6FA5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90%</w:t>
            </w:r>
          </w:p>
        </w:tc>
        <w:tc>
          <w:tcPr>
            <w:tcW w:w="1440" w:type="dxa"/>
            <w:shd w:val="clear" w:color="auto" w:fill="auto"/>
          </w:tcPr>
          <w:p w14:paraId="7F8AB45A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90%</w:t>
            </w:r>
          </w:p>
        </w:tc>
        <w:tc>
          <w:tcPr>
            <w:tcW w:w="1301" w:type="dxa"/>
          </w:tcPr>
          <w:p w14:paraId="0735CF5F" w14:textId="10A9355C" w:rsidR="0022243A" w:rsidRPr="004C3B01" w:rsidRDefault="00217A3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>
              <w:rPr>
                <w:sz w:val="19"/>
                <w:szCs w:val="19"/>
              </w:rPr>
              <w:t>დკსჯეც</w:t>
            </w:r>
            <w:proofErr w:type="spellEnd"/>
          </w:p>
        </w:tc>
      </w:tr>
      <w:tr w:rsidR="0022243A" w:rsidRPr="004C3B01" w14:paraId="1FD1116E" w14:textId="77777777" w:rsidTr="00D0503C">
        <w:trPr>
          <w:trHeight w:val="24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1D0972B8" w14:textId="1082197D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val="en-US" w:eastAsia="en-GB"/>
              </w:rPr>
              <w:t>3</w:t>
            </w:r>
            <w:r w:rsidR="00CB5AF3">
              <w:rPr>
                <w:rFonts w:eastAsia="Times New Roman" w:cs="Sylfaen"/>
                <w:sz w:val="19"/>
                <w:szCs w:val="19"/>
                <w:lang w:eastAsia="en-GB"/>
              </w:rPr>
              <w:t>1</w:t>
            </w:r>
          </w:p>
        </w:tc>
        <w:tc>
          <w:tcPr>
            <w:tcW w:w="2063" w:type="dxa"/>
          </w:tcPr>
          <w:p w14:paraId="0E82C0CF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ჩვილ ბავშვთა სრული მოცვა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პრევენციული ვიზიტებით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სისტემის მიერ</w:t>
            </w:r>
          </w:p>
        </w:tc>
        <w:tc>
          <w:tcPr>
            <w:tcW w:w="3375" w:type="dxa"/>
          </w:tcPr>
          <w:p w14:paraId="492B6F02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1 წლამდე ასაკის ბავშვთა პროცენტული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მაჩვენებელი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რომელთაც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სისტემაში ექიმის მიერ სულ მცირე 4 პრევენციული (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ჯანმრთელობასა და განვითარებაზე ზედამხედველობის)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ვიზიტი ჩაუტარდათ.</w:t>
            </w:r>
          </w:p>
          <w:p w14:paraId="224E8734" w14:textId="47A76589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ზომავს </w:t>
            </w:r>
            <w:proofErr w:type="spellStart"/>
            <w:r w:rsidRPr="004C3B01">
              <w:rPr>
                <w:rFonts w:eastAsia="Times New Roman" w:cs="Sylfaen"/>
                <w:i/>
                <w:iCs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i/>
                <w:iCs/>
                <w:sz w:val="19"/>
                <w:szCs w:val="19"/>
                <w:lang w:eastAsia="en-GB"/>
              </w:rPr>
              <w:t xml:space="preserve"> სისტემის მიერ</w:t>
            </w:r>
            <w:r w:rsidR="009669AF">
              <w:rPr>
                <w:rFonts w:eastAsia="Times New Roman" w:cs="Sylfaen"/>
                <w:i/>
                <w:iCs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ჩვილ ბავშვთა განვითარებისა და ქცევითი პრობლემების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სკრინინგისა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და დაავადებათა პრევენციისთვის სრულად ჩატარებულ ვიზიტებს. </w:t>
            </w:r>
          </w:p>
          <w:p w14:paraId="39A5A9D0" w14:textId="692811B6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lastRenderedPageBreak/>
              <w:t>დასაბუთება</w:t>
            </w:r>
            <w:r w:rsidR="00E32847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="00AA164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begin"/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NOTEREF _Ref194249898 \h </w:instrText>
            </w:r>
            <w:r w:rsid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\* MERGEFORMAT </w:instrTex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separate"/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t>5</w: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end"/>
            </w:r>
            <w:r w:rsid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t xml:space="preserve"> </w:t>
            </w:r>
          </w:p>
        </w:tc>
        <w:tc>
          <w:tcPr>
            <w:tcW w:w="3826" w:type="dxa"/>
          </w:tcPr>
          <w:p w14:paraId="237054D3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lastRenderedPageBreak/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r w:rsidRPr="004C3B01">
              <w:rPr>
                <w:rFonts w:eastAsia="Calibri" w:cs="Calibri"/>
                <w:sz w:val="19"/>
                <w:szCs w:val="19"/>
              </w:rPr>
              <w:t>1 წლამდე ასაკის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Calibri" w:cs="Calibri"/>
                <w:sz w:val="19"/>
                <w:szCs w:val="19"/>
              </w:rPr>
              <w:t>ბავშვთა რა-ბა, რომელთაც ჩაუტარდათ სულ მცირე 3 პრევენციული ვიზიტი ექიმის მიერ.</w:t>
            </w:r>
          </w:p>
          <w:p w14:paraId="2772E856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Calibri" w:cs="Calibri"/>
                <w:sz w:val="19"/>
                <w:szCs w:val="19"/>
              </w:rPr>
              <w:t>ითვლება რეგისტრაციაში აყვანამდე სხვა დაწესებულების მიერ ჩატარებული ვიზიტები დოკუმენტირებული ელექტრონულ სისტემაში.</w:t>
            </w:r>
          </w:p>
          <w:p w14:paraId="7E48023B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რეგისტრაციაზე მყოფი 1 წლამდე ბავშვთა რა-ბა, რომლებიც ანგარიშგების პერიოდისთვის არიან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lastRenderedPageBreak/>
              <w:t>რეგისტრაციაზე სულ მცირე 1 თვის მანძილზე. X 100</w:t>
            </w:r>
          </w:p>
          <w:p w14:paraId="2B8A8D37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D0503C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D0503C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</w:t>
            </w:r>
          </w:p>
        </w:tc>
        <w:tc>
          <w:tcPr>
            <w:tcW w:w="1869" w:type="dxa"/>
          </w:tcPr>
          <w:p w14:paraId="7D585383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lastRenderedPageBreak/>
              <w:t>უნდა განისაზღვროს ინფორმაციის დაგროვებასთან ერთა</w:t>
            </w:r>
            <w:r w:rsidRPr="004C3B01">
              <w:rPr>
                <w:rFonts w:cs="Sylfaen"/>
                <w:sz w:val="19"/>
                <w:szCs w:val="19"/>
              </w:rPr>
              <w:t>დ</w:t>
            </w:r>
          </w:p>
        </w:tc>
        <w:tc>
          <w:tcPr>
            <w:tcW w:w="1404" w:type="dxa"/>
          </w:tcPr>
          <w:p w14:paraId="4088D54E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90%</w:t>
            </w:r>
          </w:p>
        </w:tc>
        <w:tc>
          <w:tcPr>
            <w:tcW w:w="1440" w:type="dxa"/>
          </w:tcPr>
          <w:p w14:paraId="5C6BEFD2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90%</w:t>
            </w:r>
          </w:p>
        </w:tc>
        <w:tc>
          <w:tcPr>
            <w:tcW w:w="1301" w:type="dxa"/>
          </w:tcPr>
          <w:p w14:paraId="33DC2701" w14:textId="6EA20D2E" w:rsidR="0022243A" w:rsidRPr="004C3B01" w:rsidRDefault="00217A3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>
              <w:rPr>
                <w:sz w:val="19"/>
                <w:szCs w:val="19"/>
              </w:rPr>
              <w:t>დკსჯეც</w:t>
            </w:r>
            <w:proofErr w:type="spellEnd"/>
          </w:p>
        </w:tc>
      </w:tr>
      <w:tr w:rsidR="0022243A" w:rsidRPr="004C3B01" w14:paraId="35AAD6AC" w14:textId="77777777" w:rsidTr="00E32847">
        <w:trPr>
          <w:trHeight w:val="6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3296680D" w14:textId="4A06E772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val="en-US"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3</w:t>
            </w:r>
            <w:r w:rsidR="00CB5AF3">
              <w:rPr>
                <w:rFonts w:eastAsia="Times New Roman" w:cs="Sylfaen"/>
                <w:sz w:val="19"/>
                <w:szCs w:val="19"/>
                <w:lang w:eastAsia="en-GB"/>
              </w:rPr>
              <w:t>2</w:t>
            </w:r>
          </w:p>
        </w:tc>
        <w:tc>
          <w:tcPr>
            <w:tcW w:w="2063" w:type="dxa"/>
          </w:tcPr>
          <w:p w14:paraId="4F229250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1-დან 2 წლამდე ბავშვთა სრული მოცვა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პრევენციული ვიზიტებით </w:t>
            </w:r>
          </w:p>
        </w:tc>
        <w:tc>
          <w:tcPr>
            <w:tcW w:w="3375" w:type="dxa"/>
          </w:tcPr>
          <w:p w14:paraId="7C53EDDC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1-დან 2 წლამდე ასაკის ბავშვთა პროცენტული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მაჩვენებელი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რომელთაც 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სისტემაში ექიმის მიერ სულ მცირე 1 პრევენციული (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ჯანმრთელობასა და განვითარებაზე ზედამხედველობის)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ვიზიტი ჩაუტარდათ.</w:t>
            </w:r>
          </w:p>
          <w:p w14:paraId="3AD91938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ზომავს 12-დან 24-თვემდე ბავშვთათვის სრულად ჩატარებულ ვიზიტებს განვითარებისა და ქცევითი პრობლემების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სკრინინგისა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და დაავადებათა პრევენციისთვის. </w:t>
            </w:r>
          </w:p>
          <w:p w14:paraId="387F2B10" w14:textId="43197D1D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დასაბუთება</w:t>
            </w:r>
            <w:r w:rsidR="00E32847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="00E32847" w:rsidRPr="00E32847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begin"/>
            </w:r>
            <w:r w:rsidR="00E32847" w:rsidRPr="00E32847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NOTEREF _Ref193378377 \h  \* MERGEFORMAT </w:instrText>
            </w:r>
            <w:r w:rsidR="00E32847" w:rsidRPr="00E32847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</w:r>
            <w:r w:rsidR="00E32847" w:rsidRPr="00E32847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separate"/>
            </w:r>
            <w:r w:rsidR="007450D9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t>5</w:t>
            </w:r>
            <w:r w:rsidR="00E32847" w:rsidRPr="00E32847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end"/>
            </w:r>
          </w:p>
        </w:tc>
        <w:tc>
          <w:tcPr>
            <w:tcW w:w="3826" w:type="dxa"/>
          </w:tcPr>
          <w:p w14:paraId="01A3D105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r w:rsidRPr="004C3B01">
              <w:rPr>
                <w:rFonts w:eastAsia="Calibri" w:cs="Calibri"/>
                <w:sz w:val="19"/>
                <w:szCs w:val="19"/>
              </w:rPr>
              <w:t>12-დან 24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თვემდე </w:t>
            </w:r>
            <w:r w:rsidRPr="004C3B01">
              <w:rPr>
                <w:rFonts w:eastAsia="Calibri" w:cs="Calibri"/>
                <w:sz w:val="19"/>
                <w:szCs w:val="19"/>
              </w:rPr>
              <w:t>ბავშვთა რა-ბა, რომელთაც ჩაუტარდათ სულ მცირე 1 პრევენციული ვიზიტი ექიმის მიერ.</w:t>
            </w:r>
          </w:p>
          <w:p w14:paraId="049655E2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Calibri" w:cs="Calibri"/>
                <w:sz w:val="19"/>
                <w:szCs w:val="19"/>
              </w:rPr>
              <w:t>ითვლება რეგისტრაციაში აყვანამდე სხვა დაწესებულების მიერ ჩატარებული ვიზიტები დოკუმენტირებული ელექტრონულ სისტემაში.</w:t>
            </w:r>
          </w:p>
          <w:p w14:paraId="68DDFC5B" w14:textId="77777777" w:rsidR="0022243A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რეგისტრაციაზე მყოფი 12-დან 24 თვემდე ბავშვთა რა-ბა, რომლებიც ანგარიშგების პერიოდისთვის არიან რეგისტრაციაზე სულ მცირე 1 თვის მანძილზე. X 100</w:t>
            </w:r>
          </w:p>
          <w:p w14:paraId="63B71375" w14:textId="4B1D4483" w:rsidR="009669AF" w:rsidRPr="004C3B01" w:rsidRDefault="009669AF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D0503C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D0503C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</w:t>
            </w:r>
          </w:p>
        </w:tc>
        <w:tc>
          <w:tcPr>
            <w:tcW w:w="1869" w:type="dxa"/>
          </w:tcPr>
          <w:p w14:paraId="01726508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1C9AA6E5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90%</w:t>
            </w:r>
          </w:p>
        </w:tc>
        <w:tc>
          <w:tcPr>
            <w:tcW w:w="1440" w:type="dxa"/>
          </w:tcPr>
          <w:p w14:paraId="74016180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90%</w:t>
            </w:r>
          </w:p>
        </w:tc>
        <w:tc>
          <w:tcPr>
            <w:tcW w:w="1301" w:type="dxa"/>
          </w:tcPr>
          <w:p w14:paraId="74066DAF" w14:textId="17EED901" w:rsidR="0022243A" w:rsidRPr="004C3B01" w:rsidRDefault="00217A3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>
              <w:rPr>
                <w:sz w:val="19"/>
                <w:szCs w:val="19"/>
              </w:rPr>
              <w:t>დკსჯეც</w:t>
            </w:r>
            <w:proofErr w:type="spellEnd"/>
          </w:p>
        </w:tc>
      </w:tr>
      <w:tr w:rsidR="0022243A" w:rsidRPr="004C3B01" w14:paraId="4401CDF8" w14:textId="77777777" w:rsidTr="004C3B01">
        <w:trPr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75FA6750" w14:textId="78E7EFF4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3</w:t>
            </w:r>
            <w:r w:rsidR="00CB5AF3">
              <w:rPr>
                <w:rFonts w:eastAsia="Times New Roman" w:cs="Sylfaen"/>
                <w:sz w:val="19"/>
                <w:szCs w:val="19"/>
                <w:lang w:eastAsia="en-GB"/>
              </w:rPr>
              <w:t>3</w:t>
            </w:r>
          </w:p>
        </w:tc>
        <w:tc>
          <w:tcPr>
            <w:tcW w:w="2063" w:type="dxa"/>
          </w:tcPr>
          <w:p w14:paraId="225A584F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2-დან 3-წლამდე ბავშვთა სრული მოცვა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პრევენციული ვიზიტებით</w:t>
            </w:r>
          </w:p>
        </w:tc>
        <w:tc>
          <w:tcPr>
            <w:tcW w:w="3375" w:type="dxa"/>
          </w:tcPr>
          <w:p w14:paraId="7EFA85EB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2-დან 3-წლამდე ასაკის ბავშვთა პროცენტული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მაჩვენებელი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რომელთაც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სისტემაში ექიმის მიერ სულ მცირე 1 პრევენციული  (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ჯანმრთელობასა და განვითარებაზე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lastRenderedPageBreak/>
              <w:t>ზედამხედველობის)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ვიზიტი ჩაუტარდათ.</w:t>
            </w:r>
          </w:p>
          <w:p w14:paraId="6BF0838D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ზომავს 24-დან 36 თვემდე ბავშვთათვის სრულად ჩატარებულ ვიზიტებს განვითარებისა და ქცევითი პრობლემების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სკრინინგისა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და დაავადებათა პრევენციისთვის. </w:t>
            </w:r>
          </w:p>
          <w:p w14:paraId="12C398B2" w14:textId="5EC67740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დასაბუთება</w:t>
            </w:r>
            <w:r w:rsidR="00AA164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begin"/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NOTEREF _Ref194249898 \h </w:instrText>
            </w:r>
            <w:r w:rsid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\* MERGEFORMAT </w:instrTex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separate"/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t>5</w: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end"/>
            </w:r>
            <w:r w:rsid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t xml:space="preserve">  </w:t>
            </w:r>
          </w:p>
        </w:tc>
        <w:tc>
          <w:tcPr>
            <w:tcW w:w="3826" w:type="dxa"/>
          </w:tcPr>
          <w:p w14:paraId="74C5A0C1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lastRenderedPageBreak/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r w:rsidRPr="004C3B01">
              <w:rPr>
                <w:rFonts w:eastAsia="Calibri" w:cs="Calibri"/>
                <w:sz w:val="19"/>
                <w:szCs w:val="19"/>
              </w:rPr>
              <w:t>24-დან 36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თვემდე </w:t>
            </w:r>
            <w:r w:rsidRPr="004C3B01">
              <w:rPr>
                <w:rFonts w:eastAsia="Calibri" w:cs="Calibri"/>
                <w:sz w:val="19"/>
                <w:szCs w:val="19"/>
              </w:rPr>
              <w:t>ბავშვთა რა-ბა, რომელთაც ჩაუტარდათ სულ მცირე 1 პრევენციული ვიზიტი ექიმის მიერ.</w:t>
            </w:r>
          </w:p>
          <w:p w14:paraId="5CB4FFE0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Calibri" w:cs="Calibri"/>
                <w:sz w:val="19"/>
                <w:szCs w:val="19"/>
              </w:rPr>
              <w:t xml:space="preserve">ითვლება რეგისტრაციაში აყვანამდე სხვა დაწესებულების მიერ ჩატარებული </w:t>
            </w:r>
            <w:r w:rsidRPr="004C3B01">
              <w:rPr>
                <w:rFonts w:eastAsia="Calibri" w:cs="Calibri"/>
                <w:sz w:val="19"/>
                <w:szCs w:val="19"/>
              </w:rPr>
              <w:lastRenderedPageBreak/>
              <w:t>ვიზიტები დოკუმენტირებული ელექტრონულ სისტემაში.</w:t>
            </w:r>
          </w:p>
          <w:p w14:paraId="26C926A4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რეგისტრაციაზე მყოფი 24-დან 36 თვემდე ბავშვთა რა-ბა, რომლებიც ანგარიშგების პერიოდისთვის არიან რეგისტრაციაზე სულ მცირე 1 თვის მანძილზე. X 100</w:t>
            </w:r>
          </w:p>
          <w:p w14:paraId="0DDC3B7F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E32847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E32847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</w:t>
            </w:r>
          </w:p>
        </w:tc>
        <w:tc>
          <w:tcPr>
            <w:tcW w:w="1869" w:type="dxa"/>
          </w:tcPr>
          <w:p w14:paraId="54E3296A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lastRenderedPageBreak/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29B89CC7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90%</w:t>
            </w:r>
          </w:p>
        </w:tc>
        <w:tc>
          <w:tcPr>
            <w:tcW w:w="1440" w:type="dxa"/>
          </w:tcPr>
          <w:p w14:paraId="2A634CE5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90%</w:t>
            </w:r>
          </w:p>
        </w:tc>
        <w:tc>
          <w:tcPr>
            <w:tcW w:w="1301" w:type="dxa"/>
          </w:tcPr>
          <w:p w14:paraId="3E89B56C" w14:textId="5F18DC49" w:rsidR="0022243A" w:rsidRPr="004C3B01" w:rsidRDefault="00217A3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>
              <w:rPr>
                <w:sz w:val="19"/>
                <w:szCs w:val="19"/>
              </w:rPr>
              <w:t>დკსჯეც</w:t>
            </w:r>
            <w:proofErr w:type="spellEnd"/>
          </w:p>
        </w:tc>
      </w:tr>
      <w:tr w:rsidR="0022243A" w:rsidRPr="004C3B01" w14:paraId="02A1DFA9" w14:textId="77777777" w:rsidTr="00E32847">
        <w:trPr>
          <w:trHeight w:val="1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144785DA" w14:textId="4FC6421D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3</w:t>
            </w:r>
            <w:r w:rsidR="00CB5AF3">
              <w:rPr>
                <w:rFonts w:eastAsia="Times New Roman" w:cs="Sylfaen"/>
                <w:sz w:val="19"/>
                <w:szCs w:val="19"/>
                <w:lang w:eastAsia="en-GB"/>
              </w:rPr>
              <w:t>4</w:t>
            </w:r>
          </w:p>
        </w:tc>
        <w:tc>
          <w:tcPr>
            <w:tcW w:w="2063" w:type="dxa"/>
          </w:tcPr>
          <w:p w14:paraId="16E6BF1C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3-დან 4 წლამდე ბავშვთა სრული მოცვა პრევენციული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ვიზიტებით</w:t>
            </w:r>
          </w:p>
        </w:tc>
        <w:tc>
          <w:tcPr>
            <w:tcW w:w="3375" w:type="dxa"/>
          </w:tcPr>
          <w:p w14:paraId="2D3E5084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3-დან 4 წლამდე ასაკის ბავშვთა პროცენტული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მაჩვენებელი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რომელთაც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სისტემაში ექთნის/ექიმის მიერ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სულ მცირე 1 პრევენციული (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ჯანმრთელობასა და განვითარებაზე ზედამხედველობის)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ვიზიტი ჩაუტარდათ.</w:t>
            </w:r>
          </w:p>
          <w:p w14:paraId="4AA3AC66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ზომავს 36-დან 48 თვემდე ბავშვთათვის სრულად ჩატარებულ ვიზიტებს განვითარებისა და ქცევითი პრობლემების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სკრინინგისა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და დაავადებათა პრევენციისთვის. </w:t>
            </w:r>
          </w:p>
          <w:p w14:paraId="041993BC" w14:textId="71B01355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დასაბუთება</w:t>
            </w:r>
            <w:r w:rsidR="00E32847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="00AA164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begin"/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NOTEREF _Ref194249898 \h </w:instrText>
            </w:r>
            <w:r w:rsid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\* MERGEFORMAT </w:instrTex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separate"/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t>5</w: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end"/>
            </w:r>
            <w:r w:rsid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t xml:space="preserve">  </w:t>
            </w:r>
          </w:p>
        </w:tc>
        <w:tc>
          <w:tcPr>
            <w:tcW w:w="3826" w:type="dxa"/>
          </w:tcPr>
          <w:p w14:paraId="64453C22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r w:rsidRPr="004C3B01">
              <w:rPr>
                <w:rFonts w:eastAsia="Calibri" w:cs="Calibri"/>
                <w:sz w:val="19"/>
                <w:szCs w:val="19"/>
              </w:rPr>
              <w:t>36-დან 48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თვემდე </w:t>
            </w:r>
            <w:r w:rsidRPr="004C3B01">
              <w:rPr>
                <w:rFonts w:eastAsia="Calibri" w:cs="Calibri"/>
                <w:sz w:val="19"/>
                <w:szCs w:val="19"/>
              </w:rPr>
              <w:t>ბავშვთა რა-ბა, რომელთაც ჩაუტარდათ სულ მცირე 1 პრევენციული ვიზიტი ექთნის/ექიმის მიერ.</w:t>
            </w:r>
          </w:p>
          <w:p w14:paraId="4F20BDF7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Calibri" w:cs="Calibri"/>
                <w:sz w:val="19"/>
                <w:szCs w:val="19"/>
              </w:rPr>
              <w:t>ითვლება რეგისტრაციაში აყვანამდე სხვა დაწესებულების მიერ ჩატარებული ვიზიტები დოკუმენტირებული ელექტრონულ სისტემაში.</w:t>
            </w:r>
          </w:p>
          <w:p w14:paraId="36248FDD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რეგისტრაციაზე მყოფი 36-დან 48 თვემდე ბავშვთა რა-ბა, რომლებიც ანგარიშგების პერიოდისთვის არიან რეგისტრაციაზე სულ მცირე 1 თვის მანძილზე. X 100</w:t>
            </w:r>
          </w:p>
          <w:p w14:paraId="33AFD0AD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E32847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E32847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</w:t>
            </w:r>
          </w:p>
        </w:tc>
        <w:tc>
          <w:tcPr>
            <w:tcW w:w="1869" w:type="dxa"/>
          </w:tcPr>
          <w:p w14:paraId="7AE549F2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4952C598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90%</w:t>
            </w:r>
          </w:p>
        </w:tc>
        <w:tc>
          <w:tcPr>
            <w:tcW w:w="1440" w:type="dxa"/>
          </w:tcPr>
          <w:p w14:paraId="07733BA7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90%</w:t>
            </w:r>
          </w:p>
        </w:tc>
        <w:tc>
          <w:tcPr>
            <w:tcW w:w="1301" w:type="dxa"/>
          </w:tcPr>
          <w:p w14:paraId="6AC42A91" w14:textId="242D1347" w:rsidR="0022243A" w:rsidRPr="004C3B01" w:rsidRDefault="00217A3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>
              <w:rPr>
                <w:sz w:val="19"/>
                <w:szCs w:val="19"/>
              </w:rPr>
              <w:t>დკსჯეც</w:t>
            </w:r>
            <w:proofErr w:type="spellEnd"/>
          </w:p>
        </w:tc>
      </w:tr>
      <w:tr w:rsidR="0022243A" w:rsidRPr="004C3B01" w14:paraId="71FA1796" w14:textId="77777777" w:rsidTr="00E32847">
        <w:trPr>
          <w:trHeight w:val="40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170E07ED" w14:textId="40210E68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lastRenderedPageBreak/>
              <w:t>3</w:t>
            </w:r>
            <w:r w:rsidR="00CB5AF3">
              <w:rPr>
                <w:rFonts w:eastAsia="Times New Roman" w:cs="Sylfaen"/>
                <w:sz w:val="19"/>
                <w:szCs w:val="19"/>
                <w:lang w:eastAsia="en-GB"/>
              </w:rPr>
              <w:t>5</w:t>
            </w:r>
          </w:p>
        </w:tc>
        <w:tc>
          <w:tcPr>
            <w:tcW w:w="2063" w:type="dxa"/>
          </w:tcPr>
          <w:p w14:paraId="1052C50D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4-დან 5 წლამდე ბავშვთა სრული მოცვა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პრევენციული ვიზიტებით</w:t>
            </w:r>
          </w:p>
        </w:tc>
        <w:tc>
          <w:tcPr>
            <w:tcW w:w="3375" w:type="dxa"/>
          </w:tcPr>
          <w:p w14:paraId="525E45CF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4-დან 5 წლამდე ასაკის ბავშვთა პროცენტული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მაჩვენებელი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რომელთაც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სისტემის ექთნის/ექიმის მიერ სულ მცირე 1 პრევენციული (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ჯანმრთელობასა და განვითარებაზე ზედამხედველობის)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ვიზიტი ჩაუტარდათ.</w:t>
            </w:r>
          </w:p>
          <w:p w14:paraId="05A8F7FC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ზომავს 48-დან 60 თვემდე ბავშვთათვის სრულად ჩატარებულ ვიზიტებს განვითარებისა და ქცევითი პრობლემების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სკრინინგისა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და დაავადებათა პრევენციისთვის. </w:t>
            </w:r>
          </w:p>
          <w:p w14:paraId="3E3E3399" w14:textId="5042F2E2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დასაბუთება</w:t>
            </w:r>
            <w:r w:rsidR="00AA164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begin"/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NOTEREF _Ref194249898 \h </w:instrText>
            </w:r>
            <w:r w:rsid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\* MERGEFORMAT </w:instrTex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separate"/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t>5</w: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end"/>
            </w:r>
            <w:r w:rsid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t xml:space="preserve"> 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</w:p>
        </w:tc>
        <w:tc>
          <w:tcPr>
            <w:tcW w:w="3826" w:type="dxa"/>
          </w:tcPr>
          <w:p w14:paraId="734E3F22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r w:rsidRPr="004C3B01">
              <w:rPr>
                <w:rFonts w:eastAsia="Calibri" w:cs="Calibri"/>
                <w:sz w:val="19"/>
                <w:szCs w:val="19"/>
              </w:rPr>
              <w:t>48-დან 60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თვემდე </w:t>
            </w:r>
            <w:r w:rsidRPr="004C3B01">
              <w:rPr>
                <w:rFonts w:eastAsia="Calibri" w:cs="Calibri"/>
                <w:sz w:val="19"/>
                <w:szCs w:val="19"/>
              </w:rPr>
              <w:t>ბავშვთა რა-ბა, რომელთაც ჩაუტარდათ სულ მცირე 1 პრევენციული ვიზიტი ექთნის/ექიმის მიერ.</w:t>
            </w:r>
          </w:p>
          <w:p w14:paraId="1BD8F14B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Calibri" w:cs="Calibri"/>
                <w:sz w:val="19"/>
                <w:szCs w:val="19"/>
              </w:rPr>
              <w:t>ითვლება რეგისტრაციაში აყვანამდე სხვა დაწესებულების მიერ ჩატარებული ვიზიტები დოკუმენტირებული ელექტრონულ სისტემაში.</w:t>
            </w:r>
          </w:p>
          <w:p w14:paraId="6CAD79F9" w14:textId="51C21FBA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რეგისტრაციაზე მყოფი 48-დან 60 თვემდე ბავშვთა რა-ბა, რომლებიც ანგარიშგების პერიოდისთვის არიან რეგისტრაციაზე სულ მცირე 1 თვის მანძილზე X 100</w:t>
            </w:r>
          </w:p>
          <w:p w14:paraId="562D3A58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</w:t>
            </w:r>
          </w:p>
        </w:tc>
        <w:tc>
          <w:tcPr>
            <w:tcW w:w="1869" w:type="dxa"/>
          </w:tcPr>
          <w:p w14:paraId="20242999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265C8E14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90%</w:t>
            </w:r>
          </w:p>
        </w:tc>
        <w:tc>
          <w:tcPr>
            <w:tcW w:w="1440" w:type="dxa"/>
          </w:tcPr>
          <w:p w14:paraId="47C35148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90%</w:t>
            </w:r>
          </w:p>
        </w:tc>
        <w:tc>
          <w:tcPr>
            <w:tcW w:w="1301" w:type="dxa"/>
          </w:tcPr>
          <w:p w14:paraId="2B1223F4" w14:textId="45C9C485" w:rsidR="0022243A" w:rsidRPr="004C3B01" w:rsidRDefault="00217A3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>
              <w:rPr>
                <w:sz w:val="19"/>
                <w:szCs w:val="19"/>
              </w:rPr>
              <w:t>დკსჯეც</w:t>
            </w:r>
            <w:proofErr w:type="spellEnd"/>
          </w:p>
        </w:tc>
      </w:tr>
      <w:tr w:rsidR="0022243A" w:rsidRPr="004C3B01" w14:paraId="6B2F97BE" w14:textId="77777777" w:rsidTr="00E32847">
        <w:trPr>
          <w:trHeight w:val="41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2267CE6E" w14:textId="5E1ACF01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lastRenderedPageBreak/>
              <w:t>3</w:t>
            </w:r>
            <w:r w:rsidR="00CB5AF3">
              <w:rPr>
                <w:rFonts w:eastAsia="Times New Roman" w:cs="Sylfaen"/>
                <w:sz w:val="19"/>
                <w:szCs w:val="19"/>
                <w:lang w:eastAsia="en-GB"/>
              </w:rPr>
              <w:t>6</w:t>
            </w:r>
          </w:p>
        </w:tc>
        <w:tc>
          <w:tcPr>
            <w:tcW w:w="2063" w:type="dxa"/>
          </w:tcPr>
          <w:p w14:paraId="03670BE2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5-დან 6 წლამდე ბავშვთა სრული მოცვა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პევენციული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ვიზიტით და სასკოლო მზაობის შეფასება </w:t>
            </w:r>
          </w:p>
        </w:tc>
        <w:tc>
          <w:tcPr>
            <w:tcW w:w="3375" w:type="dxa"/>
          </w:tcPr>
          <w:p w14:paraId="233FA03D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5-დან 6 წლამდე ასაკის ბავშვთა პროცენტული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მაჩვენებელი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რომელთაც ექიმის მიერ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სულ მცირე 1 პრევენციული (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ჯანმრთელობასა და განვითარებაზე ზედამხედველობის)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ვიზიტი ჩაუტარდათ და შეფასდა სასკოლო მზაობა.</w:t>
            </w:r>
          </w:p>
          <w:p w14:paraId="5AF31468" w14:textId="769B75E6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ზომავს 60-დან 72 თვემდე ბავშვთათვის სრულად ჩატარებულ ვიზიტებს განვითარებისა და ქცევითი პრობლემების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სკრინინგისა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და დაავადებათა პრევენციისთვის</w:t>
            </w:r>
            <w:r w:rsidR="004F0CF6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და სასკოლო მზაობის შეფასებას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. </w:t>
            </w:r>
          </w:p>
          <w:p w14:paraId="3A62C83A" w14:textId="4C770264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დასაბუთება</w:t>
            </w:r>
            <w:r w:rsidR="00AA164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begin"/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NOTEREF _Ref194249898 \h </w:instrText>
            </w:r>
            <w:r w:rsid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\* MERGEFORMAT </w:instrTex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separate"/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t>5</w: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end"/>
            </w:r>
            <w:r w:rsid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t xml:space="preserve"> 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</w:p>
        </w:tc>
        <w:tc>
          <w:tcPr>
            <w:tcW w:w="3826" w:type="dxa"/>
          </w:tcPr>
          <w:p w14:paraId="7AA828DE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r w:rsidRPr="004C3B01">
              <w:rPr>
                <w:rFonts w:eastAsia="Calibri" w:cs="Calibri"/>
                <w:sz w:val="19"/>
                <w:szCs w:val="19"/>
              </w:rPr>
              <w:t>60-დან 72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თვემდე </w:t>
            </w:r>
            <w:r w:rsidRPr="004C3B01">
              <w:rPr>
                <w:rFonts w:eastAsia="Calibri" w:cs="Calibri"/>
                <w:sz w:val="19"/>
                <w:szCs w:val="19"/>
              </w:rPr>
              <w:t>ბავშვთა რა-ბა, რომელთაც ჩაუტარდათ სულ მცირე 1 პრევენციული ვიზიტი ექიმის მიერ და შეფასდა სასკოლო მზაობა.</w:t>
            </w:r>
          </w:p>
          <w:p w14:paraId="2034B7A6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Calibri" w:cs="Calibri"/>
                <w:sz w:val="19"/>
                <w:szCs w:val="19"/>
              </w:rPr>
              <w:t>ითვლება რეგისტრაციაში აყვანამდე სხვა დაწესებულების მიერ ჩატარებული ვიზიტები დოკუმენტირებული ელექტრონულ სისტემაში.</w:t>
            </w:r>
          </w:p>
          <w:p w14:paraId="21761D78" w14:textId="2EAB7110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რეგისტრაციაზე მყოფი 60-დან 72 თვემდე ბავშვთა რა-ბა, რომლებიც ანგარიშგების პერიოდისთვის არიან რეგისტრაციაზე სულ მცირე 1 თვის მანძილზე X 100</w:t>
            </w:r>
          </w:p>
          <w:p w14:paraId="2190E27A" w14:textId="22FF2B50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</w:t>
            </w:r>
          </w:p>
        </w:tc>
        <w:tc>
          <w:tcPr>
            <w:tcW w:w="1869" w:type="dxa"/>
          </w:tcPr>
          <w:p w14:paraId="4E4D2D40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01CDBC4E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90%</w:t>
            </w:r>
          </w:p>
        </w:tc>
        <w:tc>
          <w:tcPr>
            <w:tcW w:w="1440" w:type="dxa"/>
          </w:tcPr>
          <w:p w14:paraId="4CBDBDD3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90%</w:t>
            </w:r>
          </w:p>
        </w:tc>
        <w:tc>
          <w:tcPr>
            <w:tcW w:w="1301" w:type="dxa"/>
          </w:tcPr>
          <w:p w14:paraId="2628180E" w14:textId="53AFFAD6" w:rsidR="0022243A" w:rsidRPr="004C3B01" w:rsidRDefault="00217A3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>
              <w:rPr>
                <w:sz w:val="19"/>
                <w:szCs w:val="19"/>
              </w:rPr>
              <w:t>დკსჯეც</w:t>
            </w:r>
            <w:proofErr w:type="spellEnd"/>
          </w:p>
        </w:tc>
      </w:tr>
      <w:tr w:rsidR="0022243A" w:rsidRPr="004C3B01" w14:paraId="697F4BD0" w14:textId="77777777" w:rsidTr="004C3B01">
        <w:trPr>
          <w:trHeight w:val="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1BDD38E1" w14:textId="7DF7892D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3</w:t>
            </w:r>
            <w:r w:rsidR="00CB5AF3">
              <w:rPr>
                <w:rFonts w:eastAsia="Times New Roman" w:cs="Sylfaen"/>
                <w:sz w:val="19"/>
                <w:szCs w:val="19"/>
                <w:lang w:eastAsia="en-GB"/>
              </w:rPr>
              <w:t>7</w:t>
            </w:r>
          </w:p>
        </w:tc>
        <w:tc>
          <w:tcPr>
            <w:tcW w:w="2063" w:type="dxa"/>
          </w:tcPr>
          <w:p w14:paraId="10DBD5F3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3-წლამდე ბავშვთა სრული მოცვა სმენის, მხედველობის, და ბარძაყის თანდაყოლილი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დისპლაზიის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სკრინინგით</w:t>
            </w:r>
            <w:proofErr w:type="spellEnd"/>
          </w:p>
        </w:tc>
        <w:tc>
          <w:tcPr>
            <w:tcW w:w="3375" w:type="dxa"/>
          </w:tcPr>
          <w:p w14:paraId="5CAB8652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3-წლამდე ასაკის ბავშვთა პროცენტული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მაჩვენებელი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რომელთაც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სისტემაში ექიმის მიერ ჩატარებული აქვთ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გაიდლაინით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გათვალისწინებული სმენის, მხედველობის და თანდაყოლილი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დისპლაზიის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სკრინინგი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</w:p>
          <w:p w14:paraId="3B4CD6B9" w14:textId="78876B91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ზომავს 36 თვემდე ბავშვთათვის სრულად ჩატარებულ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</w:t>
            </w:r>
            <w:r w:rsidR="006B7580">
              <w:rPr>
                <w:rFonts w:eastAsia="Times New Roman" w:cs="Sylfaen"/>
                <w:sz w:val="19"/>
                <w:szCs w:val="19"/>
                <w:lang w:eastAsia="en-GB"/>
              </w:rPr>
              <w:t>კ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რინინგებს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დაავადებათა დროული გამოვლენისა და პრევენციისთვის. </w:t>
            </w:r>
          </w:p>
          <w:p w14:paraId="0DD6565F" w14:textId="66405B1F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დასაბუთებ</w:t>
            </w:r>
            <w:r w:rsidR="00AA164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ა </w: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begin"/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NOTEREF _Ref194249898 \h </w:instrText>
            </w:r>
            <w:r w:rsid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\* MERGEFORMAT </w:instrTex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separate"/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t>5</w: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end"/>
            </w:r>
            <w:r w:rsid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t xml:space="preserve">  </w:t>
            </w:r>
            <w:r w:rsidR="00E32847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</w:p>
        </w:tc>
        <w:tc>
          <w:tcPr>
            <w:tcW w:w="3826" w:type="dxa"/>
          </w:tcPr>
          <w:p w14:paraId="72BC21D9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r w:rsidRPr="004C3B01">
              <w:rPr>
                <w:rFonts w:eastAsia="Calibri" w:cs="Calibri"/>
                <w:sz w:val="19"/>
                <w:szCs w:val="19"/>
              </w:rPr>
              <w:t>36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თვემდე </w:t>
            </w:r>
            <w:r w:rsidRPr="004C3B01">
              <w:rPr>
                <w:rFonts w:eastAsia="Calibri" w:cs="Calibri"/>
                <w:sz w:val="19"/>
                <w:szCs w:val="19"/>
              </w:rPr>
              <w:t xml:space="preserve">ბავშვთა რა-ბა, რომელთაც ექიმის მიერ ჩაუტარდათ </w:t>
            </w:r>
            <w:proofErr w:type="spellStart"/>
            <w:r w:rsidRPr="004C3B01">
              <w:rPr>
                <w:rFonts w:eastAsia="Calibri" w:cs="Calibri"/>
                <w:sz w:val="19"/>
                <w:szCs w:val="19"/>
              </w:rPr>
              <w:t>გაიდლაინით</w:t>
            </w:r>
            <w:proofErr w:type="spellEnd"/>
            <w:r w:rsidRPr="004C3B01">
              <w:rPr>
                <w:rFonts w:eastAsia="Calibri" w:cs="Calibri"/>
                <w:sz w:val="19"/>
                <w:szCs w:val="19"/>
              </w:rPr>
              <w:t xml:space="preserve"> გათვალისწინებული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სმენის, მხედველობის და ბარძაყის თანდაყოლილი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დისპლაზიის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სკრინინგი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</w:p>
          <w:p w14:paraId="366B6989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Calibri" w:cs="Calibri"/>
                <w:sz w:val="19"/>
                <w:szCs w:val="19"/>
              </w:rPr>
              <w:t xml:space="preserve">ითვლება რეგისტრაციაში აყვანამდე სხვა დაწესებულების მიერ ჩატარებული </w:t>
            </w:r>
            <w:proofErr w:type="spellStart"/>
            <w:r w:rsidRPr="004C3B01">
              <w:rPr>
                <w:rFonts w:eastAsia="Calibri" w:cs="Calibri"/>
                <w:sz w:val="19"/>
                <w:szCs w:val="19"/>
              </w:rPr>
              <w:t>სკრინინგი</w:t>
            </w:r>
            <w:proofErr w:type="spellEnd"/>
            <w:r w:rsidRPr="004C3B01">
              <w:rPr>
                <w:rFonts w:eastAsia="Calibri" w:cs="Calibri"/>
                <w:sz w:val="19"/>
                <w:szCs w:val="19"/>
              </w:rPr>
              <w:t xml:space="preserve"> დოკუმენტირებული ელექტრონულ სისტემაში.</w:t>
            </w:r>
          </w:p>
          <w:p w14:paraId="51BC6F3B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რეგისტრაციაზე მყოფი 36 თვემდე ბავშვთა რა-ბა, რომლებიც ანგარიშგების პერიოდისთვის არიან რეგისტრაციაზე სულ მცირე 1 თვის მანძილზე. X 100</w:t>
            </w:r>
          </w:p>
          <w:p w14:paraId="46CE5B79" w14:textId="03069E09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lastRenderedPageBreak/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 ასაკი: &lt; წლამდე, 1-დან 2 წლამდე, 2-დან 3 წლამდე</w:t>
            </w:r>
          </w:p>
          <w:p w14:paraId="7597FD62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</w:pPr>
            <w:r w:rsidRPr="004C3B01">
              <w:rPr>
                <w:rFonts w:eastAsia="Calibri" w:cs="Calibri"/>
                <w:b/>
                <w:bCs/>
                <w:sz w:val="19"/>
                <w:szCs w:val="19"/>
              </w:rPr>
              <w:t>*</w:t>
            </w:r>
            <w:proofErr w:type="spellStart"/>
            <w:r w:rsidRPr="004C3B01">
              <w:rPr>
                <w:rFonts w:eastAsia="Calibri" w:cs="Calibri"/>
                <w:b/>
                <w:bCs/>
                <w:sz w:val="19"/>
                <w:szCs w:val="19"/>
              </w:rPr>
              <w:t>გაიდლაინით</w:t>
            </w:r>
            <w:proofErr w:type="spellEnd"/>
            <w:r w:rsidRPr="004C3B01">
              <w:rPr>
                <w:rFonts w:eastAsia="Calibri" w:cs="Calibri"/>
                <w:b/>
                <w:bCs/>
                <w:sz w:val="19"/>
                <w:szCs w:val="19"/>
              </w:rPr>
              <w:t xml:space="preserve"> გათვალისწინებული სმენის </w:t>
            </w:r>
            <w:proofErr w:type="spellStart"/>
            <w:r w:rsidRPr="004C3B01">
              <w:rPr>
                <w:rFonts w:eastAsia="Calibri" w:cs="Calibri"/>
                <w:b/>
                <w:bCs/>
                <w:sz w:val="19"/>
                <w:szCs w:val="19"/>
              </w:rPr>
              <w:t>სკრინინგი</w:t>
            </w:r>
            <w:proofErr w:type="spellEnd"/>
            <w:r w:rsidRPr="004C3B01">
              <w:rPr>
                <w:rFonts w:eastAsia="Calibri" w:cs="Calibri"/>
                <w:b/>
                <w:bCs/>
                <w:sz w:val="19"/>
                <w:szCs w:val="19"/>
              </w:rPr>
              <w:t>: </w:t>
            </w:r>
            <w:r w:rsidRPr="004C3B01">
              <w:rPr>
                <w:rFonts w:eastAsia="Calibri" w:cs="Calibri"/>
                <w:sz w:val="19"/>
                <w:szCs w:val="19"/>
              </w:rPr>
              <w:t xml:space="preserve">3 თვემდე სულ მცირე  1-ჯერ, </w:t>
            </w:r>
            <w:r w:rsidRPr="004C3B01">
              <w:rPr>
                <w:rFonts w:eastAsia="Calibri" w:cs="Calibri"/>
                <w:b/>
                <w:bCs/>
                <w:sz w:val="19"/>
                <w:szCs w:val="19"/>
              </w:rPr>
              <w:t>მხედველობის</w:t>
            </w:r>
            <w:r w:rsidRPr="004C3B01">
              <w:rPr>
                <w:rFonts w:eastAsia="Calibri" w:cs="Calibri"/>
                <w:sz w:val="19"/>
                <w:szCs w:val="19"/>
              </w:rPr>
              <w:t xml:space="preserve"> </w:t>
            </w:r>
            <w:proofErr w:type="spellStart"/>
            <w:r w:rsidRPr="004C3B01">
              <w:rPr>
                <w:rFonts w:eastAsia="Calibri" w:cs="Calibri"/>
                <w:b/>
                <w:bCs/>
                <w:sz w:val="19"/>
                <w:szCs w:val="19"/>
              </w:rPr>
              <w:t>სკრინინგი</w:t>
            </w:r>
            <w:proofErr w:type="spellEnd"/>
            <w:r w:rsidRPr="004C3B01">
              <w:rPr>
                <w:rFonts w:eastAsia="Calibri" w:cs="Calibri"/>
                <w:b/>
                <w:bCs/>
                <w:sz w:val="19"/>
                <w:szCs w:val="19"/>
              </w:rPr>
              <w:t>:</w:t>
            </w:r>
            <w:r w:rsidRPr="004C3B01">
              <w:rPr>
                <w:rFonts w:eastAsia="Calibri" w:cs="Calibri"/>
                <w:sz w:val="19"/>
                <w:szCs w:val="19"/>
              </w:rPr>
              <w:t xml:space="preserve"> 1 წლამდე სულ მცირე 2-ჯერ, </w:t>
            </w:r>
            <w:r w:rsidRPr="00E32847">
              <w:rPr>
                <w:rFonts w:eastAsia="Calibri" w:cs="Calibri"/>
                <w:b/>
                <w:bCs/>
                <w:sz w:val="19"/>
                <w:szCs w:val="19"/>
              </w:rPr>
              <w:t>ბა</w:t>
            </w:r>
            <w:r w:rsidRPr="004C3B01">
              <w:rPr>
                <w:rFonts w:eastAsia="Calibri" w:cs="Calibri"/>
                <w:b/>
                <w:bCs/>
                <w:sz w:val="19"/>
                <w:szCs w:val="19"/>
              </w:rPr>
              <w:t xml:space="preserve">რძაყის თანდაყოლილი </w:t>
            </w:r>
            <w:proofErr w:type="spellStart"/>
            <w:r w:rsidRPr="004C3B01">
              <w:rPr>
                <w:rFonts w:eastAsia="Calibri" w:cs="Calibri"/>
                <w:b/>
                <w:bCs/>
                <w:sz w:val="19"/>
                <w:szCs w:val="19"/>
              </w:rPr>
              <w:t>დისპლაზიის</w:t>
            </w:r>
            <w:proofErr w:type="spellEnd"/>
            <w:r w:rsidRPr="004C3B01">
              <w:rPr>
                <w:rFonts w:eastAsia="Calibri" w:cs="Calibri"/>
                <w:b/>
                <w:bCs/>
                <w:sz w:val="19"/>
                <w:szCs w:val="19"/>
              </w:rPr>
              <w:t xml:space="preserve"> </w:t>
            </w:r>
            <w:proofErr w:type="spellStart"/>
            <w:r w:rsidRPr="004C3B01">
              <w:rPr>
                <w:rFonts w:eastAsia="Calibri" w:cs="Calibri"/>
                <w:b/>
                <w:bCs/>
                <w:sz w:val="19"/>
                <w:szCs w:val="19"/>
              </w:rPr>
              <w:t>სკრინინგი</w:t>
            </w:r>
            <w:proofErr w:type="spellEnd"/>
            <w:r w:rsidRPr="004C3B01">
              <w:rPr>
                <w:rFonts w:eastAsia="Calibri" w:cs="Calibri"/>
                <w:sz w:val="19"/>
                <w:szCs w:val="19"/>
              </w:rPr>
              <w:t>: 1 წლამდე სულ მცირე 4-ჯერ, 18 თვის ასაკში.</w:t>
            </w:r>
          </w:p>
        </w:tc>
        <w:tc>
          <w:tcPr>
            <w:tcW w:w="1869" w:type="dxa"/>
          </w:tcPr>
          <w:p w14:paraId="62E07CEE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lastRenderedPageBreak/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592598B1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90%</w:t>
            </w:r>
          </w:p>
        </w:tc>
        <w:tc>
          <w:tcPr>
            <w:tcW w:w="1440" w:type="dxa"/>
          </w:tcPr>
          <w:p w14:paraId="125F9D2A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90%</w:t>
            </w:r>
          </w:p>
        </w:tc>
        <w:tc>
          <w:tcPr>
            <w:tcW w:w="1301" w:type="dxa"/>
          </w:tcPr>
          <w:p w14:paraId="791D0615" w14:textId="4DA63CB2" w:rsidR="0022243A" w:rsidRPr="004C3B01" w:rsidRDefault="00217A3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>
              <w:rPr>
                <w:sz w:val="19"/>
                <w:szCs w:val="19"/>
              </w:rPr>
              <w:t>დკსჯეც</w:t>
            </w:r>
            <w:proofErr w:type="spellEnd"/>
          </w:p>
        </w:tc>
      </w:tr>
      <w:tr w:rsidR="0022243A" w:rsidRPr="004C3B01" w14:paraId="6EECB0B4" w14:textId="77777777" w:rsidTr="004C3B01">
        <w:trPr>
          <w:trHeight w:val="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538C51E3" w14:textId="3E6EC50E" w:rsidR="0022243A" w:rsidRPr="004C3B01" w:rsidRDefault="0022243A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3</w:t>
            </w:r>
            <w:r w:rsidR="00CB5AF3">
              <w:rPr>
                <w:rFonts w:eastAsia="Times New Roman" w:cs="Sylfaen"/>
                <w:sz w:val="19"/>
                <w:szCs w:val="19"/>
                <w:lang w:eastAsia="en-GB"/>
              </w:rPr>
              <w:t>8</w:t>
            </w:r>
          </w:p>
        </w:tc>
        <w:tc>
          <w:tcPr>
            <w:tcW w:w="2063" w:type="dxa"/>
          </w:tcPr>
          <w:p w14:paraId="492E5DD0" w14:textId="4C916FD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3-წლამდე ბავშვთა სრული მოცვა განვითარების და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აუტიზ</w:t>
            </w:r>
            <w:r w:rsidR="00EE29C6">
              <w:rPr>
                <w:rFonts w:eastAsia="Times New Roman" w:cs="Sylfaen"/>
                <w:sz w:val="19"/>
                <w:szCs w:val="19"/>
                <w:lang w:eastAsia="en-GB"/>
              </w:rPr>
              <w:t>მ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სკრინინგით</w:t>
            </w:r>
            <w:proofErr w:type="spellEnd"/>
          </w:p>
        </w:tc>
        <w:tc>
          <w:tcPr>
            <w:tcW w:w="3375" w:type="dxa"/>
          </w:tcPr>
          <w:p w14:paraId="12D1C111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3-წლამდე ასაკის ბავშვთა პროცენტული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მაჩვენებელი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,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რომელთაც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სისტემაში ექიმის მიერ ჩატარებული აქვთ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გაიდლაინით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გათვალისწინებული განვითარების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სკრინინგი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სპეციალური კითხვარით სულ მცირე 1 ჯერ წელიწადში და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აუტიზმის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სკრინინგი</w:t>
            </w:r>
            <w:proofErr w:type="spellEnd"/>
          </w:p>
          <w:p w14:paraId="13E86E1D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ზომავს 36 თვემდე ბავშვთათვის სრულად ჩატარებულ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სკრინინგებს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განვითარებისა და ქცევითი პრობლემების დროული გამოვლენისა და პრევენციისთვის. </w:t>
            </w:r>
          </w:p>
          <w:p w14:paraId="56D50635" w14:textId="25818C19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დასაბუთება</w:t>
            </w:r>
            <w:r w:rsidR="00E32847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="00AA164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begin"/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NOTEREF _Ref194249898 \h </w:instrText>
            </w:r>
            <w:r w:rsid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\* MERGEFORMAT </w:instrTex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separate"/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t>5</w:t>
            </w:r>
            <w:r w:rsidR="00AA1641" w:rsidRP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end"/>
            </w:r>
            <w:r w:rsidR="00AA164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t xml:space="preserve">  </w:t>
            </w:r>
          </w:p>
        </w:tc>
        <w:tc>
          <w:tcPr>
            <w:tcW w:w="3826" w:type="dxa"/>
          </w:tcPr>
          <w:p w14:paraId="455BF785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r w:rsidRPr="004C3B01">
              <w:rPr>
                <w:rFonts w:eastAsia="Calibri" w:cs="Calibri"/>
                <w:sz w:val="19"/>
                <w:szCs w:val="19"/>
              </w:rPr>
              <w:t>36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თვემდე </w:t>
            </w:r>
            <w:r w:rsidRPr="004C3B01">
              <w:rPr>
                <w:rFonts w:eastAsia="Calibri" w:cs="Calibri"/>
                <w:sz w:val="19"/>
                <w:szCs w:val="19"/>
              </w:rPr>
              <w:t xml:space="preserve">ბავშვთა რა-ბა, რომელთაც ექიმის მიერ ჩაუტარდათ </w:t>
            </w:r>
            <w:proofErr w:type="spellStart"/>
            <w:r w:rsidRPr="004C3B01">
              <w:rPr>
                <w:rFonts w:eastAsia="Calibri" w:cs="Calibri"/>
                <w:sz w:val="19"/>
                <w:szCs w:val="19"/>
              </w:rPr>
              <w:t>გაიდლაინით</w:t>
            </w:r>
            <w:proofErr w:type="spellEnd"/>
            <w:r w:rsidRPr="004C3B01">
              <w:rPr>
                <w:rFonts w:eastAsia="Calibri" w:cs="Calibri"/>
                <w:sz w:val="19"/>
                <w:szCs w:val="19"/>
              </w:rPr>
              <w:t xml:space="preserve"> გათვალისწინებული 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განვითარების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სკრინინგი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სპეციალური კითხვარით სულ მცირე 1 ჯერ წელიწადში და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აუტიზმის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სკრინინგი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2 წლამდე ასაკში.</w:t>
            </w:r>
          </w:p>
          <w:p w14:paraId="7433821B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Calibri" w:cs="Calibri"/>
                <w:sz w:val="19"/>
                <w:szCs w:val="19"/>
              </w:rPr>
              <w:t xml:space="preserve">ითვლება რეგისტრაციაში აყვანამდე სხვა დაწესებულების მიერ ჩატარებული </w:t>
            </w:r>
            <w:proofErr w:type="spellStart"/>
            <w:r w:rsidRPr="004C3B01">
              <w:rPr>
                <w:rFonts w:eastAsia="Calibri" w:cs="Calibri"/>
                <w:sz w:val="19"/>
                <w:szCs w:val="19"/>
              </w:rPr>
              <w:t>სკრინინგი</w:t>
            </w:r>
            <w:proofErr w:type="spellEnd"/>
            <w:r w:rsidRPr="004C3B01">
              <w:rPr>
                <w:rFonts w:eastAsia="Calibri" w:cs="Calibri"/>
                <w:sz w:val="19"/>
                <w:szCs w:val="19"/>
              </w:rPr>
              <w:t xml:space="preserve"> დოკუმენტირებული ელექტრონულ სისტემაში.</w:t>
            </w:r>
          </w:p>
          <w:p w14:paraId="77132903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რეგისტრაციაზე მყოფი 36 თვემდე ბავშვთა რა-ბა, რომლებიც ანგარიშგების პერიოდისთვის არიან რეგისტრაციაზე სულ მცირე 1 თვის მანძილზე. X 100</w:t>
            </w:r>
          </w:p>
          <w:p w14:paraId="351944D0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</w:t>
            </w:r>
          </w:p>
          <w:p w14:paraId="2571A89F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ასაკი: &lt; წლამდე, 1-დან 2 წლამდე, 2-დან 3 წლამდე</w:t>
            </w:r>
          </w:p>
          <w:p w14:paraId="145E9310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Calibri" w:cs="Calibri"/>
                <w:b/>
                <w:bCs/>
                <w:sz w:val="19"/>
                <w:szCs w:val="19"/>
              </w:rPr>
              <w:lastRenderedPageBreak/>
              <w:t>*</w:t>
            </w:r>
            <w:proofErr w:type="spellStart"/>
            <w:r w:rsidRPr="004C3B01">
              <w:rPr>
                <w:rFonts w:eastAsia="Calibri" w:cs="Calibri"/>
                <w:b/>
                <w:bCs/>
                <w:sz w:val="19"/>
                <w:szCs w:val="19"/>
              </w:rPr>
              <w:t>გაიდლაინით</w:t>
            </w:r>
            <w:proofErr w:type="spellEnd"/>
            <w:r w:rsidRPr="004C3B01">
              <w:rPr>
                <w:rFonts w:eastAsia="Calibri" w:cs="Calibri"/>
                <w:b/>
                <w:bCs/>
                <w:sz w:val="19"/>
                <w:szCs w:val="19"/>
              </w:rPr>
              <w:t xml:space="preserve"> გათვალისწინებული </w:t>
            </w:r>
            <w:r w:rsidRPr="004C3B01">
              <w:rPr>
                <w:rFonts w:eastAsia="Calibri" w:cs="Calibri"/>
                <w:sz w:val="19"/>
                <w:szCs w:val="19"/>
              </w:rPr>
              <w:t xml:space="preserve">განვითარების </w:t>
            </w:r>
            <w:proofErr w:type="spellStart"/>
            <w:r w:rsidRPr="004C3B01">
              <w:rPr>
                <w:rFonts w:eastAsia="Calibri" w:cs="Calibri"/>
                <w:sz w:val="19"/>
                <w:szCs w:val="19"/>
              </w:rPr>
              <w:t>სკრინინგი</w:t>
            </w:r>
            <w:proofErr w:type="spellEnd"/>
            <w:r w:rsidRPr="004C3B01">
              <w:rPr>
                <w:rFonts w:eastAsia="Calibri" w:cs="Calibri"/>
                <w:sz w:val="19"/>
                <w:szCs w:val="19"/>
              </w:rPr>
              <w:t xml:space="preserve"> ტარდება 9-12,</w:t>
            </w:r>
            <w:r w:rsidRPr="004C3B01">
              <w:rPr>
                <w:rFonts w:eastAsia="Calibri" w:cs="Calibri"/>
                <w:sz w:val="19"/>
                <w:szCs w:val="19"/>
                <w:shd w:val="clear" w:color="auto" w:fill="FFFF00"/>
              </w:rPr>
              <w:t xml:space="preserve"> </w:t>
            </w:r>
            <w:r w:rsidRPr="004C3B01">
              <w:rPr>
                <w:rFonts w:eastAsia="Calibri" w:cs="Calibri"/>
                <w:sz w:val="19"/>
                <w:szCs w:val="19"/>
              </w:rPr>
              <w:t xml:space="preserve">18 და 30 თვის ასაკში, </w:t>
            </w:r>
            <w:proofErr w:type="spellStart"/>
            <w:r w:rsidRPr="004C3B01">
              <w:rPr>
                <w:rFonts w:eastAsia="Calibri" w:cs="Calibri"/>
                <w:sz w:val="19"/>
                <w:szCs w:val="19"/>
              </w:rPr>
              <w:t>აუტიზმის</w:t>
            </w:r>
            <w:proofErr w:type="spellEnd"/>
            <w:r w:rsidRPr="004C3B01">
              <w:rPr>
                <w:rFonts w:eastAsia="Calibri" w:cs="Calibri"/>
                <w:sz w:val="19"/>
                <w:szCs w:val="19"/>
              </w:rPr>
              <w:t xml:space="preserve"> </w:t>
            </w:r>
            <w:proofErr w:type="spellStart"/>
            <w:r w:rsidRPr="004C3B01">
              <w:rPr>
                <w:rFonts w:eastAsia="Calibri" w:cs="Calibri"/>
                <w:sz w:val="19"/>
                <w:szCs w:val="19"/>
              </w:rPr>
              <w:t>სკრინინგი</w:t>
            </w:r>
            <w:proofErr w:type="spellEnd"/>
            <w:r w:rsidRPr="004C3B01">
              <w:rPr>
                <w:rFonts w:eastAsia="Calibri" w:cs="Calibri"/>
                <w:sz w:val="19"/>
                <w:szCs w:val="19"/>
              </w:rPr>
              <w:t xml:space="preserve"> 18 თვის ასაკში</w:t>
            </w:r>
          </w:p>
        </w:tc>
        <w:tc>
          <w:tcPr>
            <w:tcW w:w="1869" w:type="dxa"/>
          </w:tcPr>
          <w:p w14:paraId="0B3C823D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cs="Sylfaen"/>
                <w:sz w:val="19"/>
                <w:szCs w:val="19"/>
              </w:rPr>
              <w:lastRenderedPageBreak/>
              <w:t>უნდა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განისაზღვროს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ინფორმაციის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დაგროვებასთან</w:t>
            </w:r>
            <w:r w:rsidRPr="004C3B01">
              <w:rPr>
                <w:sz w:val="19"/>
                <w:szCs w:val="19"/>
              </w:rPr>
              <w:t xml:space="preserve"> </w:t>
            </w:r>
            <w:r w:rsidRPr="004C3B01">
              <w:rPr>
                <w:rFonts w:cs="Sylfaen"/>
                <w:sz w:val="19"/>
                <w:szCs w:val="19"/>
              </w:rPr>
              <w:t>ერთად</w:t>
            </w:r>
          </w:p>
        </w:tc>
        <w:tc>
          <w:tcPr>
            <w:tcW w:w="1404" w:type="dxa"/>
          </w:tcPr>
          <w:p w14:paraId="2B5D2532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90%</w:t>
            </w:r>
          </w:p>
        </w:tc>
        <w:tc>
          <w:tcPr>
            <w:tcW w:w="1440" w:type="dxa"/>
          </w:tcPr>
          <w:p w14:paraId="2F68AA22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90%</w:t>
            </w:r>
          </w:p>
        </w:tc>
        <w:tc>
          <w:tcPr>
            <w:tcW w:w="1301" w:type="dxa"/>
          </w:tcPr>
          <w:p w14:paraId="5D53B251" w14:textId="4BE633E6" w:rsidR="0022243A" w:rsidRPr="004C3B01" w:rsidRDefault="00217A3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>
              <w:rPr>
                <w:sz w:val="19"/>
                <w:szCs w:val="19"/>
              </w:rPr>
              <w:t>დკსჯეც</w:t>
            </w:r>
            <w:proofErr w:type="spellEnd"/>
          </w:p>
        </w:tc>
      </w:tr>
      <w:tr w:rsidR="0022243A" w:rsidRPr="004C3B01" w14:paraId="58E157D8" w14:textId="77777777" w:rsidTr="004C3B01">
        <w:trPr>
          <w:trHeight w:val="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0943DD15" w14:textId="1EB4105B" w:rsidR="0022243A" w:rsidRPr="004C3B01" w:rsidRDefault="00CB5AF3" w:rsidP="004C3B01">
            <w:pPr>
              <w:spacing w:before="120" w:after="0" w:line="240" w:lineRule="auto"/>
              <w:jc w:val="left"/>
              <w:rPr>
                <w:rFonts w:eastAsia="Times New Roman" w:cs="Calibri"/>
                <w:sz w:val="19"/>
                <w:szCs w:val="19"/>
                <w:lang w:eastAsia="en-GB"/>
              </w:rPr>
            </w:pPr>
            <w:r>
              <w:rPr>
                <w:rFonts w:eastAsia="Times New Roman" w:cs="Calibri"/>
                <w:sz w:val="19"/>
                <w:szCs w:val="19"/>
                <w:lang w:eastAsia="en-GB"/>
              </w:rPr>
              <w:t>39</w:t>
            </w:r>
            <w:r w:rsidR="0022243A" w:rsidRPr="004C3B01">
              <w:rPr>
                <w:rFonts w:eastAsia="Times New Roman" w:cs="Calibri"/>
                <w:sz w:val="19"/>
                <w:szCs w:val="19"/>
                <w:lang w:eastAsia="en-GB"/>
              </w:rPr>
              <w:t>.1</w:t>
            </w:r>
          </w:p>
        </w:tc>
        <w:tc>
          <w:tcPr>
            <w:tcW w:w="2063" w:type="dxa"/>
          </w:tcPr>
          <w:p w14:paraId="0B85337E" w14:textId="38AD4853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დიფ</w:t>
            </w:r>
            <w:r w:rsidR="00AD3BD9">
              <w:rPr>
                <w:rFonts w:eastAsia="Times New Roman" w:cs="Calibri"/>
                <w:sz w:val="19"/>
                <w:szCs w:val="19"/>
                <w:lang w:eastAsia="en-GB"/>
              </w:rPr>
              <w:t>თ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ერია-ყივანახველა-ტეტანუსის  </w:t>
            </w:r>
            <w:r w:rsidR="00D724B6">
              <w:rPr>
                <w:rFonts w:eastAsia="Times New Roman" w:cs="Calibri"/>
                <w:sz w:val="19"/>
                <w:szCs w:val="19"/>
                <w:lang w:eastAsia="en-GB"/>
              </w:rPr>
              <w:t>ანტიგენების</w:t>
            </w:r>
            <w:r w:rsidR="00D724B6"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ვაქცინის სამი დოზით მოცვა (Hexa-3)</w:t>
            </w:r>
          </w:p>
        </w:tc>
        <w:tc>
          <w:tcPr>
            <w:tcW w:w="3375" w:type="dxa"/>
          </w:tcPr>
          <w:p w14:paraId="1015197B" w14:textId="58FD9D2E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1 წლამდე ასაკის ბავშვთა რაოდენობა, რომელთაც წლის მანძილზე ჩაუტარდათ აცრა დიფთერია, ტეტანუსი, ყივ</w:t>
            </w:r>
            <w:r w:rsidR="005A5F72">
              <w:rPr>
                <w:rFonts w:eastAsia="Times New Roman" w:cs="Calibri"/>
                <w:sz w:val="19"/>
                <w:szCs w:val="19"/>
                <w:lang w:eastAsia="en-GB"/>
              </w:rPr>
              <w:t>ა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ნახველას (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დყტ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/DTP)</w:t>
            </w:r>
            <w:r w:rsidR="00D724B6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ანტიგენის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შემცველი ვაქცინის სამი დოზით</w:t>
            </w:r>
          </w:p>
          <w:p w14:paraId="147F39B6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ზომავს 1 წლამდე ბავშვთა მოცვას ეროვნული კალენდრით გათვალისწინებული ვაქცინით </w:t>
            </w:r>
          </w:p>
          <w:p w14:paraId="6FD5AD2B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დასაბუთება </w:t>
            </w:r>
            <w:bookmarkStart w:id="4" w:name="_Ref171018338"/>
            <w:r w:rsidRPr="004C3B01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ootnoteReference w:id="10"/>
            </w:r>
            <w:bookmarkEnd w:id="4"/>
          </w:p>
        </w:tc>
        <w:tc>
          <w:tcPr>
            <w:tcW w:w="3826" w:type="dxa"/>
          </w:tcPr>
          <w:p w14:paraId="73613158" w14:textId="69462C56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მრიცხველი: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12 თვემდე ბავშვთა რა-ბა, რომელთაც მიღებული აქვთ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დყტ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="00D724B6">
              <w:rPr>
                <w:rFonts w:eastAsia="Times New Roman" w:cs="Calibri"/>
                <w:sz w:val="19"/>
                <w:szCs w:val="19"/>
                <w:lang w:eastAsia="en-GB"/>
              </w:rPr>
              <w:t>ანტიგენების</w:t>
            </w:r>
            <w:r w:rsidR="00D724B6"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="00D724B6">
              <w:rPr>
                <w:rFonts w:eastAsia="Times New Roman" w:cs="Calibri"/>
                <w:sz w:val="19"/>
                <w:szCs w:val="19"/>
                <w:lang w:eastAsia="en-GB"/>
              </w:rPr>
              <w:t xml:space="preserve">შემცველი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(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ჰექსავალენტური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/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Hexa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)  ვაქცინის სამი დოზა.</w:t>
            </w:r>
          </w:p>
          <w:p w14:paraId="72AEFE5E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ითვლება რეგისტრაციაში აყვანამდე სხვა დაწესებულების მიერ ჩატარებული აცრები დოკუმენტირებული ელექტრონულ სისტემაში.</w:t>
            </w:r>
          </w:p>
          <w:p w14:paraId="3E6150AA" w14:textId="441FE07E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 xml:space="preserve">მნიშვნელი: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ანგარიშგების პერიოდის განმავლობაში რეგისტრაციაზე მყოფი 12 თვემდე ბავშვთა რა-ბა, რომლებიც რეგისტრაციაზე არიან სულ მცირე 6 თვის მანძილზე. X 100</w:t>
            </w:r>
          </w:p>
          <w:p w14:paraId="36604E9E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პროვაიდერი, სქესი</w:t>
            </w:r>
          </w:p>
        </w:tc>
        <w:tc>
          <w:tcPr>
            <w:tcW w:w="1869" w:type="dxa"/>
          </w:tcPr>
          <w:p w14:paraId="27B4DA78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 xml:space="preserve"> 86% (2024)</w:t>
            </w:r>
          </w:p>
        </w:tc>
        <w:tc>
          <w:tcPr>
            <w:tcW w:w="1404" w:type="dxa"/>
          </w:tcPr>
          <w:p w14:paraId="602DE39E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95%</w:t>
            </w:r>
          </w:p>
        </w:tc>
        <w:tc>
          <w:tcPr>
            <w:tcW w:w="1440" w:type="dxa"/>
          </w:tcPr>
          <w:p w14:paraId="5B81FCD0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95%</w:t>
            </w:r>
          </w:p>
        </w:tc>
        <w:tc>
          <w:tcPr>
            <w:tcW w:w="1301" w:type="dxa"/>
          </w:tcPr>
          <w:p w14:paraId="24CC9E4B" w14:textId="18757ADA" w:rsidR="0022243A" w:rsidRPr="004C3B01" w:rsidRDefault="00217A3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>
              <w:rPr>
                <w:sz w:val="19"/>
                <w:szCs w:val="19"/>
              </w:rPr>
              <w:t>დკსჯეც</w:t>
            </w:r>
            <w:proofErr w:type="spellEnd"/>
          </w:p>
        </w:tc>
      </w:tr>
      <w:tr w:rsidR="0022243A" w:rsidRPr="004C3B01" w14:paraId="37C211D3" w14:textId="77777777" w:rsidTr="004C3B01">
        <w:trPr>
          <w:trHeight w:val="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57F3E6F0" w14:textId="227B96AC" w:rsidR="0022243A" w:rsidRPr="004C3B01" w:rsidRDefault="00CB5AF3" w:rsidP="004C3B0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eastAsia="en-GB"/>
              </w:rPr>
            </w:pPr>
            <w:r>
              <w:rPr>
                <w:rFonts w:eastAsia="Times New Roman" w:cs="Sylfaen"/>
                <w:sz w:val="19"/>
                <w:szCs w:val="19"/>
                <w:lang w:eastAsia="en-GB"/>
              </w:rPr>
              <w:t>39</w:t>
            </w:r>
            <w:r w:rsidR="0022243A" w:rsidRPr="004C3B01">
              <w:rPr>
                <w:rFonts w:eastAsia="Times New Roman" w:cs="Sylfaen"/>
                <w:sz w:val="19"/>
                <w:szCs w:val="19"/>
                <w:lang w:eastAsia="en-GB"/>
              </w:rPr>
              <w:t>.2</w:t>
            </w:r>
          </w:p>
        </w:tc>
        <w:tc>
          <w:tcPr>
            <w:tcW w:w="2063" w:type="dxa"/>
          </w:tcPr>
          <w:p w14:paraId="42EF6D7D" w14:textId="17A4EBDC" w:rsidR="0022243A" w:rsidRPr="004C3B01" w:rsidRDefault="00D724B6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>
              <w:rPr>
                <w:rFonts w:eastAsia="Times New Roman" w:cs="Sylfaen"/>
                <w:lang w:eastAsia="en-GB"/>
              </w:rPr>
              <w:t>წითელა-წითურა-ყბაყურა (</w:t>
            </w:r>
            <w:proofErr w:type="spellStart"/>
            <w:r w:rsidR="0022243A" w:rsidRPr="004C3B01">
              <w:rPr>
                <w:rFonts w:eastAsia="Times New Roman" w:cs="Sylfaen"/>
                <w:sz w:val="19"/>
                <w:szCs w:val="19"/>
                <w:lang w:eastAsia="en-GB"/>
              </w:rPr>
              <w:t>წწყ</w:t>
            </w:r>
            <w:proofErr w:type="spellEnd"/>
            <w:r>
              <w:rPr>
                <w:rFonts w:eastAsia="Times New Roman" w:cs="Sylfaen"/>
                <w:sz w:val="19"/>
                <w:szCs w:val="19"/>
                <w:lang w:eastAsia="en-GB"/>
              </w:rPr>
              <w:t xml:space="preserve">) </w:t>
            </w:r>
            <w:r>
              <w:rPr>
                <w:rFonts w:eastAsia="Times New Roman" w:cs="Sylfaen"/>
                <w:lang w:eastAsia="en-GB"/>
              </w:rPr>
              <w:t xml:space="preserve">ანტიგენების </w:t>
            </w:r>
            <w:r>
              <w:rPr>
                <w:rFonts w:eastAsia="Times New Roman" w:cs="Sylfaen"/>
                <w:lang w:eastAsia="en-GB"/>
              </w:rPr>
              <w:lastRenderedPageBreak/>
              <w:t>შემცველი</w:t>
            </w:r>
            <w:r w:rsidR="0022243A"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ვაქცინის პირველი დოზით მოცვა (MMR-1)</w:t>
            </w:r>
          </w:p>
        </w:tc>
        <w:tc>
          <w:tcPr>
            <w:tcW w:w="3375" w:type="dxa"/>
          </w:tcPr>
          <w:p w14:paraId="76482840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lastRenderedPageBreak/>
              <w:t xml:space="preserve">1-დან 2 </w:t>
            </w:r>
            <w:proofErr w:type="spellStart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წლამდდე</w:t>
            </w:r>
            <w:proofErr w:type="spellEnd"/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ასაკის ბავშვთა რაოდენობა, რომელთაც წლის მანძილზე ჩაუტარდათ აცრა წითელა, წითურა, ყბაყურას (MMR)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lastRenderedPageBreak/>
              <w:t>ანტიგენების შემცველი ვაქცინის ერთი დოზით</w:t>
            </w:r>
          </w:p>
          <w:p w14:paraId="493D2945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ზომავს 1-დან 2 წლამდე ბავშვთა მოცვას ეროვნული კალენდრით გათვალისწინებული ვაქცინით </w:t>
            </w:r>
          </w:p>
          <w:p w14:paraId="4A6505DF" w14:textId="39EDFE5C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დასაბუთება</w:t>
            </w:r>
            <w:r w:rsidR="00E32847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="001945E8" w:rsidRPr="001945E8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begin"/>
            </w:r>
            <w:r w:rsidR="001945E8" w:rsidRPr="001945E8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NOTEREF _Ref171018338 \h </w:instrText>
            </w:r>
            <w:r w:rsidR="001945E8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\* MERGEFORMAT </w:instrText>
            </w:r>
            <w:r w:rsidR="001945E8" w:rsidRPr="001945E8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</w:r>
            <w:r w:rsidR="001945E8" w:rsidRPr="001945E8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separate"/>
            </w:r>
            <w:r w:rsidR="001945E8" w:rsidRPr="001945E8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t>9</w:t>
            </w:r>
            <w:r w:rsidR="001945E8" w:rsidRPr="001945E8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end"/>
            </w:r>
          </w:p>
          <w:p w14:paraId="209F12A2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</w:p>
        </w:tc>
        <w:tc>
          <w:tcPr>
            <w:tcW w:w="3826" w:type="dxa"/>
          </w:tcPr>
          <w:p w14:paraId="119A836E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lastRenderedPageBreak/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r w:rsidRPr="004C3B01">
              <w:rPr>
                <w:rFonts w:eastAsia="Calibri" w:cs="Calibri"/>
                <w:sz w:val="19"/>
                <w:szCs w:val="19"/>
              </w:rPr>
              <w:t xml:space="preserve">12-დან 24 თვემდე ბავშვთა რა-ბა, რომელთაც მიღებული აქვთ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MMR ვაქცინის ერთი დოზა</w:t>
            </w:r>
          </w:p>
          <w:p w14:paraId="6FB0DDBD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Calibri" w:cs="Calibri"/>
                <w:sz w:val="19"/>
                <w:szCs w:val="19"/>
              </w:rPr>
              <w:lastRenderedPageBreak/>
              <w:t>ითვლება რეგისტრაციაში აყვანამდე სხვა დაწესებულების მიერ ჩატარებული აცრები დოკუმენტირებული ელექტრონულ სისტემაში.</w:t>
            </w:r>
          </w:p>
          <w:p w14:paraId="6F378023" w14:textId="42800BAA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ანგარიშგების პერიოდის განმავლობაში რეგისტრაციაზე მყოფი </w:t>
            </w:r>
            <w:r w:rsidRPr="004C3B01">
              <w:rPr>
                <w:rFonts w:eastAsia="Calibri" w:cs="Calibri"/>
                <w:sz w:val="19"/>
                <w:szCs w:val="19"/>
              </w:rPr>
              <w:t xml:space="preserve">12-დან 24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თვემდე ბავშვთა რა-ბა, რომლებიც რეგისტრაციაზე </w:t>
            </w:r>
            <w:r w:rsidR="00072C9D"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არიან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სულ მცირე 6 თვის მანძილზე. X 100</w:t>
            </w:r>
          </w:p>
          <w:p w14:paraId="3F3BAEE2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</w:t>
            </w:r>
          </w:p>
        </w:tc>
        <w:tc>
          <w:tcPr>
            <w:tcW w:w="1869" w:type="dxa"/>
          </w:tcPr>
          <w:p w14:paraId="6FB0EACA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lastRenderedPageBreak/>
              <w:t>90% (2024)</w:t>
            </w:r>
          </w:p>
        </w:tc>
        <w:tc>
          <w:tcPr>
            <w:tcW w:w="1404" w:type="dxa"/>
          </w:tcPr>
          <w:p w14:paraId="712C4DA7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95%</w:t>
            </w:r>
          </w:p>
        </w:tc>
        <w:tc>
          <w:tcPr>
            <w:tcW w:w="1440" w:type="dxa"/>
          </w:tcPr>
          <w:p w14:paraId="4BABECB0" w14:textId="77777777" w:rsidR="0022243A" w:rsidRPr="004C3B01" w:rsidRDefault="0022243A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sz w:val="19"/>
                <w:szCs w:val="19"/>
              </w:rPr>
              <w:t>95%</w:t>
            </w:r>
          </w:p>
        </w:tc>
        <w:tc>
          <w:tcPr>
            <w:tcW w:w="1301" w:type="dxa"/>
          </w:tcPr>
          <w:p w14:paraId="1DA400DE" w14:textId="2C0146DD" w:rsidR="0022243A" w:rsidRPr="004C3B01" w:rsidRDefault="00217A33" w:rsidP="004C3B0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proofErr w:type="spellStart"/>
            <w:r>
              <w:rPr>
                <w:sz w:val="19"/>
                <w:szCs w:val="19"/>
              </w:rPr>
              <w:t>დკსჯეც</w:t>
            </w:r>
            <w:proofErr w:type="spellEnd"/>
          </w:p>
        </w:tc>
      </w:tr>
      <w:tr w:rsidR="00AA1641" w:rsidRPr="004C3B01" w14:paraId="41A26EA1" w14:textId="77777777" w:rsidTr="000A0108">
        <w:trPr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</w:tcPr>
          <w:p w14:paraId="037FB9B5" w14:textId="39864D23" w:rsidR="00AA1641" w:rsidRPr="001945E8" w:rsidRDefault="00CB5AF3" w:rsidP="00AA1641">
            <w:pPr>
              <w:spacing w:before="120" w:after="0" w:line="240" w:lineRule="auto"/>
              <w:jc w:val="left"/>
              <w:rPr>
                <w:rFonts w:eastAsia="Times New Roman" w:cs="Sylfaen"/>
                <w:sz w:val="19"/>
                <w:szCs w:val="19"/>
                <w:lang w:val="en-US" w:eastAsia="en-GB"/>
              </w:rPr>
            </w:pPr>
            <w:r>
              <w:rPr>
                <w:rFonts w:eastAsia="Times New Roman" w:cs="Sylfaen"/>
                <w:sz w:val="19"/>
                <w:szCs w:val="19"/>
                <w:lang w:eastAsia="en-GB"/>
              </w:rPr>
              <w:t>39.3</w:t>
            </w:r>
          </w:p>
        </w:tc>
        <w:tc>
          <w:tcPr>
            <w:tcW w:w="2063" w:type="dxa"/>
          </w:tcPr>
          <w:p w14:paraId="56040010" w14:textId="47C8BD56" w:rsidR="00AA1641" w:rsidRPr="004C3B01" w:rsidRDefault="00D724B6" w:rsidP="00AA164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Sylfaen"/>
                <w:sz w:val="19"/>
                <w:szCs w:val="19"/>
                <w:lang w:eastAsia="en-GB"/>
              </w:rPr>
            </w:pPr>
            <w:r>
              <w:rPr>
                <w:rFonts w:eastAsia="Times New Roman" w:cs="Sylfaen"/>
                <w:lang w:eastAsia="en-GB"/>
              </w:rPr>
              <w:t>წითელა-წითურა-ყბაყურა (</w:t>
            </w:r>
            <w:proofErr w:type="spellStart"/>
            <w:r w:rsidR="00AA1641" w:rsidRPr="004C3B01">
              <w:rPr>
                <w:rFonts w:eastAsia="Times New Roman" w:cs="Sylfaen"/>
                <w:sz w:val="19"/>
                <w:szCs w:val="19"/>
                <w:lang w:eastAsia="en-GB"/>
              </w:rPr>
              <w:t>წწყ</w:t>
            </w:r>
            <w:proofErr w:type="spellEnd"/>
            <w:r>
              <w:rPr>
                <w:rFonts w:eastAsia="Times New Roman" w:cs="Sylfaen"/>
                <w:sz w:val="19"/>
                <w:szCs w:val="19"/>
                <w:lang w:eastAsia="en-GB"/>
              </w:rPr>
              <w:t>)</w:t>
            </w:r>
            <w:r w:rsidR="00AA1641"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r>
              <w:rPr>
                <w:rFonts w:eastAsia="Times New Roman" w:cs="Sylfaen"/>
                <w:lang w:eastAsia="en-GB"/>
              </w:rPr>
              <w:t>ანტიგენების შემცველი</w:t>
            </w:r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</w:t>
            </w:r>
            <w:r w:rsidR="00AA1641" w:rsidRPr="004C3B01">
              <w:rPr>
                <w:rFonts w:eastAsia="Times New Roman" w:cs="Sylfaen"/>
                <w:sz w:val="19"/>
                <w:szCs w:val="19"/>
                <w:lang w:eastAsia="en-GB"/>
              </w:rPr>
              <w:t>ვაქცინის მეორე დოზით მოცვა (MMR-2)</w:t>
            </w:r>
          </w:p>
        </w:tc>
        <w:tc>
          <w:tcPr>
            <w:tcW w:w="3375" w:type="dxa"/>
          </w:tcPr>
          <w:p w14:paraId="1EEA1DAE" w14:textId="77777777" w:rsidR="00AA1641" w:rsidRPr="004C3B01" w:rsidRDefault="00AA1641" w:rsidP="00AA164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5-დან 6 წლამდე ასაკის ბავშვთა რაოდენობა, რომელთაც წლის მანძილზე ჩაუტარდათ აცრა წითელა, წითურა, ყბაყურას (MMR) ანტიგენების შემცველი ვაქცინის ორი დოზით</w:t>
            </w:r>
          </w:p>
          <w:p w14:paraId="16814D38" w14:textId="77777777" w:rsidR="00AA1641" w:rsidRDefault="00AA1641" w:rsidP="00AA164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ზომავს 5 წლის ბავშვთა მოცვას ეროვნული კალენდრით გათვალისწინებული ვაქცინით</w:t>
            </w:r>
          </w:p>
          <w:p w14:paraId="035E8B10" w14:textId="55D90CE5" w:rsidR="001945E8" w:rsidRDefault="001945E8" w:rsidP="001945E8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დასაბუთება</w:t>
            </w:r>
            <w:r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r w:rsidRPr="001945E8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begin"/>
            </w:r>
            <w:r w:rsidRPr="001945E8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NOTEREF _Ref171018338 \h </w:instrText>
            </w:r>
            <w:r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instrText xml:space="preserve"> \* MERGEFORMAT </w:instrText>
            </w:r>
            <w:r w:rsidRPr="001945E8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</w:r>
            <w:r w:rsidRPr="001945E8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separate"/>
            </w:r>
            <w:r w:rsidRPr="001945E8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t>9</w:t>
            </w:r>
            <w:r w:rsidRPr="001945E8">
              <w:rPr>
                <w:rFonts w:eastAsia="Times New Roman" w:cs="Calibri"/>
                <w:sz w:val="19"/>
                <w:szCs w:val="19"/>
                <w:vertAlign w:val="superscript"/>
                <w:lang w:eastAsia="en-GB"/>
              </w:rPr>
              <w:fldChar w:fldCharType="end"/>
            </w:r>
          </w:p>
          <w:p w14:paraId="72833F33" w14:textId="77777777" w:rsidR="00AA1641" w:rsidRPr="004C3B01" w:rsidRDefault="00AA1641" w:rsidP="00AA164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</w:p>
        </w:tc>
        <w:tc>
          <w:tcPr>
            <w:tcW w:w="3826" w:type="dxa"/>
          </w:tcPr>
          <w:p w14:paraId="4CDD5B84" w14:textId="77777777" w:rsidR="00AA1641" w:rsidRPr="004C3B01" w:rsidRDefault="00AA1641" w:rsidP="00AA164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Calibri"/>
                <w:sz w:val="19"/>
                <w:szCs w:val="19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მრიცხველი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: </w:t>
            </w:r>
            <w:r w:rsidRPr="004C3B01">
              <w:rPr>
                <w:rFonts w:eastAsia="Calibri" w:cs="Calibri"/>
                <w:sz w:val="19"/>
                <w:szCs w:val="19"/>
              </w:rPr>
              <w:t xml:space="preserve">60-დან 72 თვემდე ბავშვთა რა-ბა, რომელთაც მიღებული აქვთ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MMR ვაქცინის მეორე დოზა</w:t>
            </w:r>
          </w:p>
          <w:p w14:paraId="630CC0E6" w14:textId="77777777" w:rsidR="00AA1641" w:rsidRPr="004C3B01" w:rsidRDefault="00AA1641" w:rsidP="00AA164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Calibri" w:cs="Calibri"/>
                <w:sz w:val="19"/>
                <w:szCs w:val="19"/>
              </w:rPr>
              <w:t>ითვლება რეგისტრაციაში აყვანამდე სხვა დაწესებულების მიერ ჩატარებული აცრები დოკუმენტირებული ელექტრონულ სისტემაში.</w:t>
            </w:r>
          </w:p>
          <w:p w14:paraId="7B51319C" w14:textId="454C5FEF" w:rsidR="00AA1641" w:rsidRPr="004C3B01" w:rsidRDefault="00AA1641" w:rsidP="00AA164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sz w:val="19"/>
                <w:szCs w:val="19"/>
                <w:lang w:eastAsia="en-GB"/>
              </w:rPr>
            </w:pPr>
            <w:r w:rsidRPr="004C3B01"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  <w:t>მნიშვნელი: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ანგარიშგების პერიოდის განმავლობაში რეგისტრაციაზე მყოფი </w:t>
            </w:r>
            <w:r w:rsidRPr="004C3B01">
              <w:rPr>
                <w:rFonts w:eastAsia="Calibri" w:cs="Calibri"/>
                <w:sz w:val="19"/>
                <w:szCs w:val="19"/>
              </w:rPr>
              <w:t xml:space="preserve">60-დან 72 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თვემდე ბავშვთა რა-ბა, რომლებიც ანგარიშგების არიან რეგისტრაციაზე სულ მცირე 6 თვის მანძილზე. X 100</w:t>
            </w:r>
          </w:p>
          <w:p w14:paraId="301C7C1E" w14:textId="74E929C0" w:rsidR="00AA1641" w:rsidRPr="004C3B01" w:rsidRDefault="00AA1641" w:rsidP="00AA164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/>
                <w:bCs/>
                <w:sz w:val="19"/>
                <w:szCs w:val="19"/>
                <w:lang w:eastAsia="en-GB"/>
              </w:rPr>
            </w:pPr>
            <w:proofErr w:type="spellStart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დეზაგრეგაცია</w:t>
            </w:r>
            <w:proofErr w:type="spellEnd"/>
            <w:r w:rsidRPr="004C3B01">
              <w:rPr>
                <w:rFonts w:eastAsia="Times New Roman" w:cs="Calibri"/>
                <w:b/>
                <w:bCs/>
                <w:i/>
                <w:iCs/>
                <w:sz w:val="19"/>
                <w:szCs w:val="19"/>
                <w:lang w:eastAsia="en-GB"/>
              </w:rPr>
              <w:t>: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>პჯდ</w:t>
            </w:r>
            <w:proofErr w:type="spellEnd"/>
            <w:r w:rsidRPr="004C3B01">
              <w:rPr>
                <w:rFonts w:eastAsia="Times New Roman" w:cs="Sylfaen"/>
                <w:sz w:val="19"/>
                <w:szCs w:val="19"/>
                <w:lang w:eastAsia="en-GB"/>
              </w:rPr>
              <w:t xml:space="preserve"> პროვაიდერი</w:t>
            </w:r>
            <w:r w:rsidRPr="004C3B01">
              <w:rPr>
                <w:rFonts w:eastAsia="Times New Roman" w:cs="Calibri"/>
                <w:sz w:val="19"/>
                <w:szCs w:val="19"/>
                <w:lang w:eastAsia="en-GB"/>
              </w:rPr>
              <w:t>, სქესი</w:t>
            </w:r>
          </w:p>
        </w:tc>
        <w:tc>
          <w:tcPr>
            <w:tcW w:w="1869" w:type="dxa"/>
          </w:tcPr>
          <w:p w14:paraId="4FD256A6" w14:textId="587D50E3" w:rsidR="00AA1641" w:rsidRPr="004C3B01" w:rsidRDefault="00AA1641" w:rsidP="00AA164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81% (2024)</w:t>
            </w:r>
          </w:p>
        </w:tc>
        <w:tc>
          <w:tcPr>
            <w:tcW w:w="1404" w:type="dxa"/>
          </w:tcPr>
          <w:p w14:paraId="535310A5" w14:textId="7E76EDB6" w:rsidR="00AA1641" w:rsidRPr="004C3B01" w:rsidRDefault="00AA1641" w:rsidP="00AA164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95%</w:t>
            </w:r>
          </w:p>
        </w:tc>
        <w:tc>
          <w:tcPr>
            <w:tcW w:w="1440" w:type="dxa"/>
          </w:tcPr>
          <w:p w14:paraId="34B26AD3" w14:textId="338A54AE" w:rsidR="00AA1641" w:rsidRPr="004C3B01" w:rsidRDefault="00AA1641" w:rsidP="00AA164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r w:rsidRPr="004C3B01">
              <w:rPr>
                <w:sz w:val="19"/>
                <w:szCs w:val="19"/>
              </w:rPr>
              <w:t>95%</w:t>
            </w:r>
          </w:p>
        </w:tc>
        <w:tc>
          <w:tcPr>
            <w:tcW w:w="1301" w:type="dxa"/>
          </w:tcPr>
          <w:p w14:paraId="3BB8F52C" w14:textId="04C430FE" w:rsidR="00AA1641" w:rsidRPr="004C3B01" w:rsidRDefault="00217A33" w:rsidP="00AA1641">
            <w:pPr>
              <w:spacing w:before="120"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დკსჯეც</w:t>
            </w:r>
            <w:proofErr w:type="spellEnd"/>
          </w:p>
        </w:tc>
      </w:tr>
    </w:tbl>
    <w:p w14:paraId="5DF5E6DC" w14:textId="77777777" w:rsidR="00BB45F3" w:rsidRPr="0022243A" w:rsidRDefault="00BB45F3" w:rsidP="00BB2602">
      <w:pPr>
        <w:numPr>
          <w:ilvl w:val="0"/>
          <w:numId w:val="10"/>
        </w:numPr>
        <w:spacing w:before="120" w:after="0" w:line="240" w:lineRule="auto"/>
        <w:contextualSpacing/>
        <w:jc w:val="left"/>
        <w:rPr>
          <w:rFonts w:eastAsia="Times New Roman" w:cs="Times New Roman"/>
          <w:sz w:val="22"/>
          <w:szCs w:val="22"/>
          <w:lang w:eastAsia="en-GB"/>
        </w:rPr>
      </w:pPr>
      <w:r w:rsidRPr="0022243A">
        <w:rPr>
          <w:rFonts w:eastAsia="Times New Roman" w:cs="Times New Roman"/>
          <w:sz w:val="22"/>
          <w:szCs w:val="22"/>
          <w:lang w:eastAsia="en-GB"/>
        </w:rPr>
        <w:t xml:space="preserve">გამონაკლისები რეესტრისთვის: პირი გადავიდა საცხოვრებლად სხვა ქვეყანაში; მშობელი უარს აცხადებს სერვისის მიღებაზე (უარი დოკუმენტირებულია) </w:t>
      </w:r>
    </w:p>
    <w:p w14:paraId="3DA67F3B" w14:textId="77777777" w:rsidR="00BB45F3" w:rsidRDefault="00BB45F3" w:rsidP="00BB2602">
      <w:pPr>
        <w:numPr>
          <w:ilvl w:val="0"/>
          <w:numId w:val="10"/>
        </w:numPr>
        <w:spacing w:before="120" w:after="0" w:line="240" w:lineRule="auto"/>
        <w:contextualSpacing/>
        <w:jc w:val="left"/>
        <w:rPr>
          <w:rFonts w:eastAsia="Times New Roman" w:cs="Times New Roman"/>
          <w:sz w:val="22"/>
          <w:szCs w:val="22"/>
          <w:lang w:eastAsia="en-GB"/>
        </w:rPr>
      </w:pPr>
      <w:r w:rsidRPr="0022243A">
        <w:rPr>
          <w:rFonts w:eastAsia="Times New Roman" w:cs="Times New Roman"/>
          <w:sz w:val="22"/>
          <w:szCs w:val="22"/>
          <w:lang w:eastAsia="en-GB"/>
        </w:rPr>
        <w:t xml:space="preserve">თუ რეესტრში მყოფი პირი გარდაიცვალა </w:t>
      </w:r>
      <w:proofErr w:type="spellStart"/>
      <w:r w:rsidRPr="0022243A">
        <w:rPr>
          <w:rFonts w:eastAsia="Times New Roman" w:cs="Times New Roman"/>
          <w:sz w:val="22"/>
          <w:szCs w:val="22"/>
          <w:lang w:eastAsia="en-GB"/>
        </w:rPr>
        <w:t>საანგარიშგებო</w:t>
      </w:r>
      <w:proofErr w:type="spellEnd"/>
      <w:r w:rsidRPr="0022243A">
        <w:rPr>
          <w:rFonts w:eastAsia="Times New Roman" w:cs="Times New Roman"/>
          <w:sz w:val="22"/>
          <w:szCs w:val="22"/>
          <w:lang w:eastAsia="en-GB"/>
        </w:rPr>
        <w:t xml:space="preserve"> პერიოდის დროს და მას მიეწოდა სერვისი, იგი ითვლება როგორც მრიცხველში ისე მნიშვნელში.</w:t>
      </w:r>
    </w:p>
    <w:p w14:paraId="61D8FC8A" w14:textId="11FF26B5" w:rsidR="000A0108" w:rsidRPr="0022243A" w:rsidRDefault="000A0108" w:rsidP="00BB2602">
      <w:pPr>
        <w:numPr>
          <w:ilvl w:val="0"/>
          <w:numId w:val="10"/>
        </w:numPr>
        <w:spacing w:before="120" w:after="0" w:line="240" w:lineRule="auto"/>
        <w:contextualSpacing/>
        <w:jc w:val="left"/>
        <w:rPr>
          <w:rFonts w:eastAsia="Times New Roman" w:cs="Times New Roman"/>
          <w:sz w:val="22"/>
          <w:szCs w:val="22"/>
          <w:lang w:eastAsia="en-GB"/>
        </w:rPr>
      </w:pPr>
      <w:bookmarkStart w:id="5" w:name="OLE_LINK1"/>
      <w:bookmarkStart w:id="6" w:name="OLE_LINK2"/>
      <w:r>
        <w:rPr>
          <w:rFonts w:eastAsia="Times New Roman" w:cs="Times New Roman"/>
          <w:sz w:val="22"/>
          <w:szCs w:val="22"/>
          <w:lang w:eastAsia="en-GB"/>
        </w:rPr>
        <w:lastRenderedPageBreak/>
        <w:t>4.1, 4</w:t>
      </w:r>
      <w:r w:rsidR="00514A97">
        <w:rPr>
          <w:rFonts w:eastAsia="Times New Roman" w:cs="Times New Roman"/>
          <w:sz w:val="22"/>
          <w:szCs w:val="22"/>
          <w:lang w:eastAsia="en-GB"/>
        </w:rPr>
        <w:t xml:space="preserve">.2, 4.3, 7.2, 20, 21, 22, 23, 26, 27 და 28 ინდიკატორების შეფასება დაიწყება 2027 წლიდან, მას შემდეგ რაც სამედიცინო დაწესებულებები უზრუნველყოფენ </w:t>
      </w:r>
      <w:proofErr w:type="spellStart"/>
      <w:r w:rsidR="00514A97">
        <w:rPr>
          <w:rFonts w:eastAsia="Times New Roman" w:cs="Times New Roman"/>
          <w:sz w:val="22"/>
          <w:szCs w:val="22"/>
          <w:lang w:eastAsia="en-GB"/>
        </w:rPr>
        <w:t>დენომინატორის</w:t>
      </w:r>
      <w:proofErr w:type="spellEnd"/>
      <w:r w:rsidR="00514A97">
        <w:rPr>
          <w:rFonts w:eastAsia="Times New Roman" w:cs="Times New Roman"/>
          <w:sz w:val="22"/>
          <w:szCs w:val="22"/>
          <w:lang w:eastAsia="en-GB"/>
        </w:rPr>
        <w:t xml:space="preserve"> განსაზღვრისთვის შესაბამისი რეესტრების წარმოებას ელექტრონული სისტემის მეშვეობით.</w:t>
      </w:r>
    </w:p>
    <w:bookmarkEnd w:id="5"/>
    <w:bookmarkEnd w:id="6"/>
    <w:p w14:paraId="376BD732" w14:textId="77777777" w:rsidR="00BB45F3" w:rsidRPr="0022243A" w:rsidRDefault="00BB45F3" w:rsidP="00BB2602">
      <w:pPr>
        <w:spacing w:before="120" w:after="0" w:line="240" w:lineRule="auto"/>
        <w:jc w:val="left"/>
        <w:rPr>
          <w:rFonts w:eastAsia="Times New Roman" w:cs="Times New Roman"/>
          <w:sz w:val="22"/>
          <w:szCs w:val="22"/>
          <w:lang w:eastAsia="en-GB"/>
        </w:rPr>
      </w:pPr>
    </w:p>
    <w:p w14:paraId="3F2B6E0F" w14:textId="77777777" w:rsidR="00BB45F3" w:rsidRPr="0022243A" w:rsidRDefault="00BB45F3" w:rsidP="00BB2602">
      <w:pPr>
        <w:spacing w:before="120" w:after="0" w:line="240" w:lineRule="auto"/>
        <w:jc w:val="left"/>
        <w:rPr>
          <w:rFonts w:eastAsia="Times New Roman" w:cs="Times New Roman"/>
          <w:sz w:val="22"/>
          <w:szCs w:val="22"/>
          <w:lang w:eastAsia="en-GB"/>
        </w:rPr>
      </w:pPr>
    </w:p>
    <w:p w14:paraId="0958E4D8" w14:textId="07CB082B" w:rsidR="000314AB" w:rsidRPr="0022243A" w:rsidRDefault="000314AB" w:rsidP="00BB2602">
      <w:pPr>
        <w:spacing w:before="120" w:after="0" w:line="240" w:lineRule="auto"/>
        <w:jc w:val="left"/>
      </w:pPr>
    </w:p>
    <w:sectPr w:rsidR="000314AB" w:rsidRPr="0022243A" w:rsidSect="004649B3">
      <w:headerReference w:type="default" r:id="rId8"/>
      <w:footerReference w:type="even" r:id="rId9"/>
      <w:footerReference w:type="default" r:id="rId10"/>
      <w:pgSz w:w="16840" w:h="11900" w:orient="landscape"/>
      <w:pgMar w:top="1797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20056" w14:textId="77777777" w:rsidR="00BE52A7" w:rsidRPr="00B26FE5" w:rsidRDefault="00BE52A7" w:rsidP="00D97BFA">
      <w:r w:rsidRPr="00B26FE5">
        <w:separator/>
      </w:r>
    </w:p>
  </w:endnote>
  <w:endnote w:type="continuationSeparator" w:id="0">
    <w:p w14:paraId="4339E284" w14:textId="77777777" w:rsidR="00BE52A7" w:rsidRPr="00B26FE5" w:rsidRDefault="00BE52A7" w:rsidP="00D97BFA">
      <w:r w:rsidRPr="00B26FE5">
        <w:continuationSeparator/>
      </w:r>
    </w:p>
  </w:endnote>
  <w:endnote w:type="continuationNotice" w:id="1">
    <w:p w14:paraId="71E02961" w14:textId="77777777" w:rsidR="00BE52A7" w:rsidRDefault="00BE52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LK Tall Nusxuri">
    <w:altName w:val="Calibri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CFF76" w14:textId="77777777" w:rsidR="00202406" w:rsidRPr="00B26FE5" w:rsidRDefault="00202406" w:rsidP="00D97BFA">
    <w:pPr>
      <w:pStyle w:val="Footer"/>
      <w:rPr>
        <w:rStyle w:val="PageNumber"/>
      </w:rPr>
    </w:pPr>
    <w:r w:rsidRPr="00B26FE5">
      <w:rPr>
        <w:rStyle w:val="PageNumber"/>
      </w:rPr>
      <w:fldChar w:fldCharType="begin"/>
    </w:r>
    <w:r w:rsidRPr="00B26FE5">
      <w:rPr>
        <w:rStyle w:val="PageNumber"/>
      </w:rPr>
      <w:instrText xml:space="preserve">PAGE  </w:instrText>
    </w:r>
    <w:r w:rsidRPr="00B26FE5">
      <w:rPr>
        <w:rStyle w:val="PageNumber"/>
      </w:rPr>
      <w:fldChar w:fldCharType="separate"/>
    </w:r>
    <w:r w:rsidRPr="0098581B">
      <w:rPr>
        <w:rStyle w:val="PageNumber"/>
      </w:rPr>
      <w:t>2</w:t>
    </w:r>
    <w:r w:rsidRPr="00B26FE5">
      <w:rPr>
        <w:rStyle w:val="PageNumber"/>
      </w:rPr>
      <w:fldChar w:fldCharType="end"/>
    </w:r>
  </w:p>
  <w:p w14:paraId="7A412542" w14:textId="77777777" w:rsidR="00202406" w:rsidRPr="00B26FE5" w:rsidRDefault="00202406" w:rsidP="00D97B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7EC65" w14:textId="39E366BE" w:rsidR="00202406" w:rsidRPr="00B26FE5" w:rsidRDefault="00202406" w:rsidP="00D97BFA">
    <w:pPr>
      <w:pStyle w:val="Footer"/>
      <w:rPr>
        <w:rStyle w:val="PageNumber"/>
      </w:rPr>
    </w:pPr>
    <w:r w:rsidRPr="00B26FE5">
      <w:rPr>
        <w:rStyle w:val="PageNumber"/>
      </w:rPr>
      <w:fldChar w:fldCharType="begin"/>
    </w:r>
    <w:r w:rsidRPr="00B26FE5">
      <w:rPr>
        <w:rStyle w:val="PageNumber"/>
      </w:rPr>
      <w:instrText xml:space="preserve">PAGE  </w:instrText>
    </w:r>
    <w:r w:rsidRPr="00B26FE5">
      <w:rPr>
        <w:rStyle w:val="PageNumber"/>
      </w:rPr>
      <w:fldChar w:fldCharType="separate"/>
    </w:r>
    <w:r w:rsidRPr="0098581B">
      <w:rPr>
        <w:rStyle w:val="PageNumber"/>
      </w:rPr>
      <w:t>3</w:t>
    </w:r>
    <w:r w:rsidRPr="00B26FE5">
      <w:rPr>
        <w:rStyle w:val="PageNumber"/>
      </w:rPr>
      <w:fldChar w:fldCharType="end"/>
    </w:r>
  </w:p>
  <w:p w14:paraId="0A248CB3" w14:textId="474CF33E" w:rsidR="00202406" w:rsidRPr="00B26FE5" w:rsidRDefault="00202406" w:rsidP="00D97B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3B34E" w14:textId="77777777" w:rsidR="00BE52A7" w:rsidRPr="00B26FE5" w:rsidRDefault="00BE52A7" w:rsidP="00D97BFA">
      <w:r w:rsidRPr="00B26FE5">
        <w:separator/>
      </w:r>
    </w:p>
  </w:footnote>
  <w:footnote w:type="continuationSeparator" w:id="0">
    <w:p w14:paraId="52436762" w14:textId="77777777" w:rsidR="00BE52A7" w:rsidRPr="00B26FE5" w:rsidRDefault="00BE52A7" w:rsidP="00D97BFA">
      <w:r w:rsidRPr="00B26FE5">
        <w:continuationSeparator/>
      </w:r>
    </w:p>
  </w:footnote>
  <w:footnote w:type="continuationNotice" w:id="1">
    <w:p w14:paraId="3C0414E4" w14:textId="77777777" w:rsidR="00BE52A7" w:rsidRDefault="00BE52A7">
      <w:pPr>
        <w:spacing w:after="0" w:line="240" w:lineRule="auto"/>
      </w:pPr>
    </w:p>
  </w:footnote>
  <w:footnote w:id="2">
    <w:p w14:paraId="3102E1F1" w14:textId="77777777" w:rsidR="0022243A" w:rsidRDefault="0022243A" w:rsidP="00943800">
      <w:pPr>
        <w:pStyle w:val="NormalWeb"/>
        <w:rPr>
          <w:lang w:val="ka-GE"/>
        </w:rPr>
      </w:pPr>
      <w:r>
        <w:rPr>
          <w:rStyle w:val="FootnoteReference"/>
        </w:rPr>
        <w:footnoteRef/>
      </w:r>
      <w:r>
        <w:rPr>
          <w:lang w:val="ka-GE"/>
        </w:rPr>
        <w:t xml:space="preserve"> </w:t>
      </w:r>
      <w:r w:rsidRPr="00086FB5">
        <w:rPr>
          <w:rFonts w:ascii="Sylfaen" w:hAnsi="Sylfaen"/>
          <w:i/>
          <w:iCs/>
          <w:sz w:val="18"/>
          <w:szCs w:val="18"/>
          <w:lang w:val="ka-GE"/>
        </w:rPr>
        <w:t>წყარო</w:t>
      </w:r>
      <w:r w:rsidRPr="00086FB5">
        <w:rPr>
          <w:rFonts w:ascii="Sylfaen" w:hAnsi="Sylfaen"/>
          <w:i/>
          <w:iCs/>
          <w:lang w:val="ka-GE"/>
        </w:rPr>
        <w:t>:</w:t>
      </w:r>
      <w:r>
        <w:rPr>
          <w:rFonts w:ascii="Sylfaen" w:hAnsi="Sylfaen"/>
          <w:i/>
          <w:iCs/>
          <w:lang w:val="ka-GE"/>
        </w:rPr>
        <w:t xml:space="preserve"> </w:t>
      </w:r>
      <w:r w:rsidRPr="00FB3430">
        <w:rPr>
          <w:rFonts w:ascii="Sylfaen" w:hAnsi="Sylfaen" w:cs="Sylfaen"/>
          <w:sz w:val="20"/>
          <w:szCs w:val="20"/>
          <w:lang w:val="ka-GE"/>
        </w:rPr>
        <w:t xml:space="preserve">მოზრდილ პაციენტებში </w:t>
      </w:r>
      <w:r w:rsidRPr="00736C5C">
        <w:rPr>
          <w:rFonts w:ascii="Sylfaen" w:hAnsi="Sylfaen" w:cs="Sylfaen"/>
          <w:sz w:val="20"/>
          <w:szCs w:val="20"/>
          <w:lang w:val="ka-GE"/>
        </w:rPr>
        <w:t>შაქრიანი დიაბეტის მართვა პირველად ჯანდაცვაში</w:t>
      </w:r>
      <w:r>
        <w:rPr>
          <w:rFonts w:ascii="Sylfaen" w:hAnsi="Sylfaen" w:cs="Sylfaen"/>
          <w:sz w:val="20"/>
          <w:szCs w:val="20"/>
          <w:lang w:val="ka-GE"/>
        </w:rPr>
        <w:t xml:space="preserve">. კლინიკური მდგომარეობის მართვის </w:t>
      </w:r>
      <w:r w:rsidRPr="00736C5C">
        <w:rPr>
          <w:rFonts w:ascii="Sylfaen" w:hAnsi="Sylfaen" w:cs="Sylfaen"/>
          <w:sz w:val="20"/>
          <w:szCs w:val="20"/>
          <w:lang w:val="ka-GE"/>
        </w:rPr>
        <w:t>ეროვნული სტანდარტი</w:t>
      </w:r>
      <w:r>
        <w:rPr>
          <w:rFonts w:ascii="Sylfaen" w:hAnsi="Sylfaen" w:cs="Sylfaen"/>
          <w:sz w:val="20"/>
          <w:szCs w:val="20"/>
          <w:lang w:val="ka-GE"/>
        </w:rPr>
        <w:t xml:space="preserve"> (</w:t>
      </w:r>
      <w:proofErr w:type="spellStart"/>
      <w:r>
        <w:rPr>
          <w:rFonts w:ascii="Sylfaen" w:hAnsi="Sylfaen" w:cs="Sylfaen"/>
          <w:sz w:val="20"/>
          <w:szCs w:val="20"/>
          <w:lang w:val="ka-GE"/>
        </w:rPr>
        <w:t>პროტოკლი</w:t>
      </w:r>
      <w:proofErr w:type="spellEnd"/>
      <w:r>
        <w:rPr>
          <w:rFonts w:ascii="Sylfaen" w:hAnsi="Sylfaen" w:cs="Sylfaen"/>
          <w:sz w:val="20"/>
          <w:szCs w:val="20"/>
          <w:lang w:val="ka-GE"/>
        </w:rPr>
        <w:t>)</w:t>
      </w:r>
      <w:r w:rsidRPr="00736C5C">
        <w:rPr>
          <w:rFonts w:ascii="Sylfaen" w:hAnsi="Sylfaen" w:cs="Sylfaen"/>
          <w:sz w:val="20"/>
          <w:szCs w:val="20"/>
          <w:lang w:val="ka-GE"/>
        </w:rPr>
        <w:t>, 2023:</w:t>
      </w:r>
      <w:r>
        <w:rPr>
          <w:rFonts w:ascii="Sylfaen" w:hAnsi="Sylfaen" w:cs="Sylfaen"/>
          <w:sz w:val="20"/>
          <w:szCs w:val="20"/>
          <w:lang w:val="ka-GE"/>
        </w:rPr>
        <w:t xml:space="preserve"> </w:t>
      </w:r>
      <w:hyperlink r:id="rId1" w:history="1">
        <w:r w:rsidRPr="00193BE2">
          <w:rPr>
            <w:rStyle w:val="Hyperlink"/>
            <w:rFonts w:ascii="Sylfaen" w:hAnsi="Sylfaen" w:cs="Sylfaen"/>
            <w:sz w:val="20"/>
            <w:szCs w:val="20"/>
            <w:lang w:val="ka-GE"/>
          </w:rPr>
          <w:t>https://old.moh.gov.ge/uploads/guidelines/2023/08/03/9af3c381dc4198b41acf7cbabb654f10.pdf</w:t>
        </w:r>
      </w:hyperlink>
    </w:p>
    <w:p w14:paraId="56A2B67D" w14:textId="77777777" w:rsidR="0022243A" w:rsidRPr="00C30937" w:rsidRDefault="0022243A" w:rsidP="00943800"/>
  </w:footnote>
  <w:footnote w:id="3">
    <w:p w14:paraId="7A5DBF56" w14:textId="2858BC3D" w:rsidR="0022243A" w:rsidRPr="00C30937" w:rsidRDefault="0022243A" w:rsidP="00943800">
      <w:r>
        <w:rPr>
          <w:rStyle w:val="FootnoteReference"/>
        </w:rPr>
        <w:footnoteRef/>
      </w:r>
      <w:r w:rsidRPr="008F5BD6">
        <w:t xml:space="preserve"> </w:t>
      </w:r>
      <w:r w:rsidRPr="00086FB5">
        <w:rPr>
          <w:i/>
          <w:iCs/>
          <w:sz w:val="18"/>
          <w:szCs w:val="18"/>
        </w:rPr>
        <w:t>წყარო:</w:t>
      </w:r>
      <w:r w:rsidRPr="00086FB5">
        <w:rPr>
          <w:i/>
          <w:iCs/>
          <w:sz w:val="22"/>
          <w:szCs w:val="22"/>
        </w:rPr>
        <w:t xml:space="preserve"> </w:t>
      </w:r>
      <w:proofErr w:type="spellStart"/>
      <w:r w:rsidRPr="008F5BD6">
        <w:rPr>
          <w:rStyle w:val="SubtleReference1"/>
          <w:rFonts w:cs="Sylfaen"/>
        </w:rPr>
        <w:t>ესენციური</w:t>
      </w:r>
      <w:proofErr w:type="spellEnd"/>
      <w:r w:rsidR="007C61EE">
        <w:rPr>
          <w:rStyle w:val="SubtleReference1"/>
          <w:rFonts w:cs="Sylfaen"/>
        </w:rPr>
        <w:t xml:space="preserve"> </w:t>
      </w:r>
      <w:proofErr w:type="spellStart"/>
      <w:r w:rsidRPr="008F5BD6">
        <w:rPr>
          <w:rStyle w:val="SubtleReference1"/>
          <w:rFonts w:cs="Sylfaen"/>
        </w:rPr>
        <w:t>ჰიპერტენზიის</w:t>
      </w:r>
      <w:proofErr w:type="spellEnd"/>
      <w:r w:rsidRPr="008F5BD6">
        <w:rPr>
          <w:rStyle w:val="SubtleReference1"/>
        </w:rPr>
        <w:t xml:space="preserve"> </w:t>
      </w:r>
      <w:r w:rsidRPr="008F5BD6">
        <w:rPr>
          <w:rStyle w:val="SubtleReference1"/>
          <w:rFonts w:cs="Sylfaen"/>
        </w:rPr>
        <w:t>მართვა</w:t>
      </w:r>
      <w:r w:rsidRPr="008F5BD6">
        <w:rPr>
          <w:rStyle w:val="SubtleReference1"/>
        </w:rPr>
        <w:t xml:space="preserve"> </w:t>
      </w:r>
      <w:r w:rsidRPr="008F5BD6">
        <w:rPr>
          <w:rStyle w:val="SubtleReference1"/>
          <w:rFonts w:cs="Sylfaen"/>
        </w:rPr>
        <w:t>მოზრდილებში</w:t>
      </w:r>
      <w:r w:rsidRPr="008F5BD6">
        <w:rPr>
          <w:rStyle w:val="SubtleReference1"/>
        </w:rPr>
        <w:t xml:space="preserve"> </w:t>
      </w:r>
      <w:r w:rsidRPr="008F5BD6">
        <w:rPr>
          <w:rStyle w:val="SubtleReference1"/>
          <w:rFonts w:cs="Sylfaen"/>
        </w:rPr>
        <w:t>პირველადი</w:t>
      </w:r>
      <w:r w:rsidRPr="008F5BD6">
        <w:rPr>
          <w:rStyle w:val="SubtleReference1"/>
        </w:rPr>
        <w:t xml:space="preserve"> </w:t>
      </w:r>
      <w:r w:rsidRPr="008F5BD6">
        <w:rPr>
          <w:rStyle w:val="SubtleReference1"/>
          <w:rFonts w:cs="Sylfaen"/>
        </w:rPr>
        <w:t>ჯანდაცვის</w:t>
      </w:r>
      <w:r w:rsidRPr="008F5BD6">
        <w:rPr>
          <w:rStyle w:val="SubtleReference1"/>
        </w:rPr>
        <w:t xml:space="preserve"> </w:t>
      </w:r>
      <w:r w:rsidRPr="008F5BD6">
        <w:rPr>
          <w:rStyle w:val="SubtleReference1"/>
          <w:rFonts w:cs="Sylfaen"/>
        </w:rPr>
        <w:t>დონეზე</w:t>
      </w:r>
      <w:r w:rsidRPr="008F5BD6">
        <w:rPr>
          <w:rStyle w:val="SubtleReference1"/>
        </w:rPr>
        <w:t xml:space="preserve"> </w:t>
      </w:r>
      <w:r w:rsidRPr="008F5BD6">
        <w:rPr>
          <w:rStyle w:val="SubtleReference1"/>
          <w:rFonts w:cs="Sylfaen"/>
        </w:rPr>
        <w:t>კლინიკური</w:t>
      </w:r>
      <w:r w:rsidRPr="008F5BD6">
        <w:rPr>
          <w:rStyle w:val="SubtleReference1"/>
        </w:rPr>
        <w:t xml:space="preserve"> </w:t>
      </w:r>
      <w:r w:rsidRPr="008F5BD6">
        <w:rPr>
          <w:rStyle w:val="SubtleReference1"/>
          <w:rFonts w:cs="Sylfaen"/>
        </w:rPr>
        <w:t>მდგომარეობის</w:t>
      </w:r>
      <w:r w:rsidRPr="008F5BD6">
        <w:rPr>
          <w:rStyle w:val="SubtleReference1"/>
        </w:rPr>
        <w:t xml:space="preserve"> </w:t>
      </w:r>
      <w:r w:rsidRPr="008F5BD6">
        <w:rPr>
          <w:rStyle w:val="SubtleReference1"/>
          <w:rFonts w:cs="Sylfaen"/>
        </w:rPr>
        <w:t>მართვის</w:t>
      </w:r>
      <w:r w:rsidRPr="008F5BD6">
        <w:rPr>
          <w:rStyle w:val="SubtleReference1"/>
        </w:rPr>
        <w:t xml:space="preserve"> </w:t>
      </w:r>
      <w:r w:rsidRPr="008F5BD6">
        <w:rPr>
          <w:rStyle w:val="SubtleReference1"/>
          <w:rFonts w:cs="Sylfaen"/>
        </w:rPr>
        <w:t>სახელმწიფო</w:t>
      </w:r>
      <w:r w:rsidRPr="008F5BD6">
        <w:rPr>
          <w:rStyle w:val="SubtleReference1"/>
        </w:rPr>
        <w:t xml:space="preserve"> </w:t>
      </w:r>
      <w:r w:rsidRPr="008F5BD6">
        <w:rPr>
          <w:rStyle w:val="SubtleReference1"/>
          <w:rFonts w:cs="Sylfaen"/>
        </w:rPr>
        <w:t>სტანდარტი</w:t>
      </w:r>
      <w:r w:rsidRPr="008F5BD6">
        <w:rPr>
          <w:rStyle w:val="SubtleReference1"/>
        </w:rPr>
        <w:t xml:space="preserve"> (</w:t>
      </w:r>
      <w:r w:rsidRPr="008F5BD6">
        <w:rPr>
          <w:rStyle w:val="SubtleReference1"/>
          <w:rFonts w:cs="Sylfaen"/>
        </w:rPr>
        <w:t>პროტოკოლი</w:t>
      </w:r>
      <w:r w:rsidRPr="008F5BD6">
        <w:rPr>
          <w:rStyle w:val="SubtleReference1"/>
        </w:rPr>
        <w:t xml:space="preserve">). 2023. </w:t>
      </w:r>
      <w:hyperlink r:id="rId2" w:history="1">
        <w:r w:rsidRPr="00736C5C">
          <w:rPr>
            <w:rStyle w:val="Hyperlink"/>
            <w:rFonts w:cs="Sylfaen"/>
          </w:rPr>
          <w:t>https://old.moh.gov.ge/uploads/guidelines/2023/08/03/6b0005af8f5124e14b4e914cf87624b7.pdf</w:t>
        </w:r>
      </w:hyperlink>
    </w:p>
  </w:footnote>
  <w:footnote w:id="4">
    <w:p w14:paraId="798239EE" w14:textId="77777777" w:rsidR="0022243A" w:rsidRPr="006D6F9D" w:rsidRDefault="0022243A" w:rsidP="009438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86FB5">
        <w:rPr>
          <w:i/>
          <w:iCs/>
          <w:sz w:val="18"/>
          <w:szCs w:val="18"/>
        </w:rPr>
        <w:t>წყარო:</w:t>
      </w:r>
      <w:r>
        <w:rPr>
          <w:i/>
          <w:iCs/>
          <w:sz w:val="18"/>
          <w:szCs w:val="18"/>
        </w:rPr>
        <w:t xml:space="preserve"> </w:t>
      </w:r>
      <w:proofErr w:type="spellStart"/>
      <w:r w:rsidRPr="006D6F9D">
        <w:t>Noncommunicable</w:t>
      </w:r>
      <w:proofErr w:type="spellEnd"/>
      <w:r w:rsidRPr="006D6F9D">
        <w:t xml:space="preserve"> </w:t>
      </w:r>
      <w:proofErr w:type="spellStart"/>
      <w:r w:rsidRPr="006D6F9D">
        <w:t>disease</w:t>
      </w:r>
      <w:proofErr w:type="spellEnd"/>
      <w:r w:rsidRPr="006D6F9D">
        <w:t xml:space="preserve"> </w:t>
      </w:r>
      <w:proofErr w:type="spellStart"/>
      <w:r w:rsidRPr="006D6F9D">
        <w:t>facility-based</w:t>
      </w:r>
      <w:proofErr w:type="spellEnd"/>
      <w:r w:rsidRPr="006D6F9D">
        <w:t xml:space="preserve"> </w:t>
      </w:r>
      <w:proofErr w:type="spellStart"/>
      <w:r w:rsidRPr="006D6F9D">
        <w:t>monitoring</w:t>
      </w:r>
      <w:proofErr w:type="spellEnd"/>
      <w:r w:rsidRPr="006D6F9D">
        <w:t xml:space="preserve"> </w:t>
      </w:r>
      <w:proofErr w:type="spellStart"/>
      <w:r w:rsidRPr="006D6F9D">
        <w:t>guidance</w:t>
      </w:r>
      <w:proofErr w:type="spellEnd"/>
      <w:r w:rsidRPr="006D6F9D">
        <w:t xml:space="preserve">: </w:t>
      </w:r>
      <w:proofErr w:type="spellStart"/>
      <w:r w:rsidRPr="006D6F9D">
        <w:t>framework</w:t>
      </w:r>
      <w:proofErr w:type="spellEnd"/>
      <w:r w:rsidRPr="006D6F9D">
        <w:t xml:space="preserve">, </w:t>
      </w:r>
      <w:proofErr w:type="spellStart"/>
      <w:r w:rsidRPr="006D6F9D">
        <w:t>indicators</w:t>
      </w:r>
      <w:proofErr w:type="spellEnd"/>
      <w:r w:rsidRPr="006D6F9D">
        <w:t xml:space="preserve"> </w:t>
      </w:r>
      <w:proofErr w:type="spellStart"/>
      <w:r w:rsidRPr="006D6F9D">
        <w:t>and</w:t>
      </w:r>
      <w:proofErr w:type="spellEnd"/>
      <w:r w:rsidRPr="006D6F9D">
        <w:t xml:space="preserve"> </w:t>
      </w:r>
      <w:proofErr w:type="spellStart"/>
      <w:r w:rsidRPr="006D6F9D">
        <w:t>application</w:t>
      </w:r>
      <w:proofErr w:type="spellEnd"/>
      <w:r w:rsidRPr="006D6F9D">
        <w:t xml:space="preserve">. </w:t>
      </w:r>
      <w:proofErr w:type="spellStart"/>
      <w:r w:rsidRPr="006D6F9D">
        <w:t>Geneva</w:t>
      </w:r>
      <w:proofErr w:type="spellEnd"/>
      <w:r w:rsidRPr="006D6F9D">
        <w:t xml:space="preserve">: </w:t>
      </w:r>
      <w:proofErr w:type="spellStart"/>
      <w:r w:rsidRPr="006D6F9D">
        <w:t>World</w:t>
      </w:r>
      <w:proofErr w:type="spellEnd"/>
      <w:r w:rsidRPr="006D6F9D">
        <w:t xml:space="preserve"> </w:t>
      </w:r>
      <w:proofErr w:type="spellStart"/>
      <w:r w:rsidRPr="006D6F9D">
        <w:t>Health</w:t>
      </w:r>
      <w:proofErr w:type="spellEnd"/>
      <w:r w:rsidRPr="006D6F9D">
        <w:t xml:space="preserve"> </w:t>
      </w:r>
      <w:proofErr w:type="spellStart"/>
      <w:r w:rsidRPr="006D6F9D">
        <w:t>Organization</w:t>
      </w:r>
      <w:proofErr w:type="spellEnd"/>
      <w:r w:rsidRPr="006D6F9D">
        <w:t xml:space="preserve">; 2022. </w:t>
      </w:r>
      <w:proofErr w:type="spellStart"/>
      <w:r w:rsidRPr="006D6F9D">
        <w:t>Licence</w:t>
      </w:r>
      <w:proofErr w:type="spellEnd"/>
      <w:r w:rsidRPr="006D6F9D">
        <w:t xml:space="preserve">: CC BY-NC-SA 3.0 IGO. </w:t>
      </w:r>
    </w:p>
  </w:footnote>
  <w:footnote w:id="5">
    <w:p w14:paraId="1A45BFD3" w14:textId="1F7C42FB" w:rsidR="00EE77A0" w:rsidRPr="00EE77A0" w:rsidRDefault="00EE77A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86FB5">
        <w:rPr>
          <w:i/>
          <w:iCs/>
          <w:sz w:val="18"/>
          <w:szCs w:val="18"/>
        </w:rPr>
        <w:t>წყარო:</w:t>
      </w:r>
      <w:r w:rsidRPr="00086FB5">
        <w:rPr>
          <w:i/>
          <w:iCs/>
          <w:sz w:val="22"/>
          <w:szCs w:val="22"/>
        </w:rPr>
        <w:t xml:space="preserve"> </w:t>
      </w:r>
      <w:r>
        <w:rPr>
          <w:rStyle w:val="SubtleReference1"/>
          <w:rFonts w:cs="Sylfaen"/>
        </w:rPr>
        <w:t xml:space="preserve"> გულ-სისხლძარღვთა დაავადებების რისკის შეფასება და მართვა პირველად ჯანდაცვაში. კლინიკური მდგომარეობის მართვის </w:t>
      </w:r>
      <w:r w:rsidRPr="008F5BD6">
        <w:rPr>
          <w:rStyle w:val="SubtleReference1"/>
          <w:rFonts w:cs="Sylfaen"/>
        </w:rPr>
        <w:t>სახელმწიფო</w:t>
      </w:r>
      <w:r w:rsidRPr="008F5BD6">
        <w:rPr>
          <w:rStyle w:val="SubtleReference1"/>
        </w:rPr>
        <w:t xml:space="preserve"> </w:t>
      </w:r>
      <w:r w:rsidRPr="008F5BD6">
        <w:rPr>
          <w:rStyle w:val="SubtleReference1"/>
          <w:rFonts w:cs="Sylfaen"/>
        </w:rPr>
        <w:t>სტანდარტი</w:t>
      </w:r>
      <w:r w:rsidRPr="008F5BD6">
        <w:rPr>
          <w:rStyle w:val="SubtleReference1"/>
        </w:rPr>
        <w:t xml:space="preserve"> (</w:t>
      </w:r>
      <w:r w:rsidRPr="008F5BD6">
        <w:rPr>
          <w:rStyle w:val="SubtleReference1"/>
          <w:rFonts w:cs="Sylfaen"/>
        </w:rPr>
        <w:t>პროტოკოლი</w:t>
      </w:r>
      <w:r w:rsidRPr="008F5BD6">
        <w:rPr>
          <w:rStyle w:val="SubtleReference1"/>
        </w:rPr>
        <w:t>).</w:t>
      </w:r>
      <w:r>
        <w:rPr>
          <w:rStyle w:val="SubtleReference1"/>
        </w:rPr>
        <w:t xml:space="preserve"> 2024 </w:t>
      </w:r>
      <w:r w:rsidRPr="008F5BD6">
        <w:rPr>
          <w:rStyle w:val="SubtleReference1"/>
        </w:rPr>
        <w:t xml:space="preserve"> </w:t>
      </w:r>
      <w:r w:rsidRPr="00EE77A0">
        <w:rPr>
          <w:rStyle w:val="SubtleReference1"/>
        </w:rPr>
        <w:t>https://www.moh.gov.ge/docs/20240422051604-გულ-სისხლძარღვთა%20დაავადებების%20რისკი%20-%20პროტოკოლი.pdf</w:t>
      </w:r>
    </w:p>
  </w:footnote>
  <w:footnote w:id="6">
    <w:p w14:paraId="31C83F70" w14:textId="1F2F93BC" w:rsidR="00AA1641" w:rsidRDefault="00AA1641" w:rsidP="00AA1641">
      <w:r>
        <w:rPr>
          <w:rStyle w:val="FootnoteReference"/>
        </w:rPr>
        <w:footnoteRef/>
      </w:r>
      <w:r>
        <w:t xml:space="preserve"> </w:t>
      </w:r>
      <w:r w:rsidRPr="00086FB5">
        <w:rPr>
          <w:rFonts w:cs="Sylfaen"/>
          <w:i/>
          <w:iCs/>
        </w:rPr>
        <w:t>წყარო</w:t>
      </w:r>
      <w:r>
        <w:rPr>
          <w:i/>
          <w:iCs/>
        </w:rPr>
        <w:t>:</w:t>
      </w:r>
      <w:r w:rsidRPr="00086FB5">
        <w:rPr>
          <w:i/>
          <w:iCs/>
          <w:sz w:val="22"/>
          <w:szCs w:val="22"/>
        </w:rPr>
        <w:t xml:space="preserve"> </w:t>
      </w:r>
      <w:r>
        <w:t xml:space="preserve">0-6 </w:t>
      </w:r>
      <w:r>
        <w:rPr>
          <w:rFonts w:cs="Sylfaen"/>
        </w:rPr>
        <w:t>წლის</w:t>
      </w:r>
      <w:r>
        <w:t xml:space="preserve"> </w:t>
      </w:r>
      <w:r w:rsidRPr="00736C5C">
        <w:rPr>
          <w:rFonts w:cs="Sylfaen"/>
        </w:rPr>
        <w:t>ბავშვ</w:t>
      </w:r>
      <w:r>
        <w:rPr>
          <w:rFonts w:cs="Sylfaen"/>
        </w:rPr>
        <w:t>თა</w:t>
      </w:r>
      <w:r w:rsidRPr="00736C5C">
        <w:t xml:space="preserve"> </w:t>
      </w:r>
      <w:r w:rsidRPr="00736C5C">
        <w:rPr>
          <w:rFonts w:cs="Sylfaen"/>
        </w:rPr>
        <w:t>ჯანმრთელობა</w:t>
      </w:r>
      <w:r>
        <w:rPr>
          <w:rFonts w:cs="Sylfaen"/>
        </w:rPr>
        <w:t xml:space="preserve">სა და განვითარებაზე </w:t>
      </w:r>
      <w:r w:rsidRPr="00736C5C">
        <w:rPr>
          <w:rFonts w:cs="Sylfaen"/>
        </w:rPr>
        <w:t>ზედამხედველობის</w:t>
      </w:r>
      <w:r w:rsidRPr="00736C5C">
        <w:t xml:space="preserve"> </w:t>
      </w:r>
      <w:r w:rsidRPr="00736C5C">
        <w:rPr>
          <w:rFonts w:cs="Sylfaen"/>
        </w:rPr>
        <w:t>ძირითადი</w:t>
      </w:r>
      <w:r w:rsidRPr="00736C5C">
        <w:t xml:space="preserve"> </w:t>
      </w:r>
      <w:r w:rsidRPr="00736C5C">
        <w:rPr>
          <w:rFonts w:cs="Sylfaen"/>
        </w:rPr>
        <w:t>პრინციპები</w:t>
      </w:r>
      <w:r>
        <w:rPr>
          <w:rFonts w:cs="Sylfaen"/>
        </w:rPr>
        <w:t xml:space="preserve"> პირველად ჯანდაცვაში</w:t>
      </w:r>
      <w:r w:rsidRPr="00736C5C">
        <w:rPr>
          <w:rFonts w:cs="Sylfaen"/>
        </w:rPr>
        <w:t xml:space="preserve">, კლინიკური </w:t>
      </w:r>
      <w:r>
        <w:rPr>
          <w:rFonts w:cs="Sylfaen"/>
        </w:rPr>
        <w:t>მართვის ეროვნული რეკომენდაცია (</w:t>
      </w:r>
      <w:proofErr w:type="spellStart"/>
      <w:r>
        <w:rPr>
          <w:rFonts w:cs="Sylfaen"/>
        </w:rPr>
        <w:t>გაიდლაინი</w:t>
      </w:r>
      <w:proofErr w:type="spellEnd"/>
      <w:r w:rsidRPr="00736C5C">
        <w:rPr>
          <w:rFonts w:cs="Sylfaen"/>
        </w:rPr>
        <w:t>)</w:t>
      </w:r>
      <w:r>
        <w:rPr>
          <w:rFonts w:cs="Sylfaen"/>
        </w:rPr>
        <w:t>,</w:t>
      </w:r>
      <w:r w:rsidRPr="00736C5C">
        <w:rPr>
          <w:rFonts w:cs="Sylfaen"/>
        </w:rPr>
        <w:t xml:space="preserve"> </w:t>
      </w:r>
      <w:r w:rsidRPr="008612F1">
        <w:rPr>
          <w:rFonts w:cs="Sylfaen"/>
        </w:rPr>
        <w:t>202</w:t>
      </w:r>
      <w:r>
        <w:rPr>
          <w:rFonts w:cs="Sylfaen"/>
        </w:rPr>
        <w:t>4</w:t>
      </w:r>
    </w:p>
  </w:footnote>
  <w:footnote w:id="7">
    <w:p w14:paraId="5904A36E" w14:textId="77777777" w:rsidR="0022243A" w:rsidRPr="00C05E6F" w:rsidRDefault="0022243A" w:rsidP="00124CD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პჯდ</w:t>
      </w:r>
      <w:proofErr w:type="spellEnd"/>
      <w:r>
        <w:t xml:space="preserve"> პროვაიდერი გულისხმობს </w:t>
      </w:r>
      <w:proofErr w:type="spellStart"/>
      <w:r>
        <w:t>პჯდ</w:t>
      </w:r>
      <w:proofErr w:type="spellEnd"/>
      <w:r>
        <w:t xml:space="preserve"> დაწესებულებას და სოფლის ექიმს. ასეთი </w:t>
      </w:r>
      <w:proofErr w:type="spellStart"/>
      <w:r>
        <w:t>დეზაგრეგაცია</w:t>
      </w:r>
      <w:proofErr w:type="spellEnd"/>
      <w:r>
        <w:t xml:space="preserve"> ხდება ეროვნულ დონეზე, დაწესებულებამ რეკომენდებულია გააკეთოს </w:t>
      </w:r>
      <w:proofErr w:type="spellStart"/>
      <w:r>
        <w:t>დეზაგრეგაცია</w:t>
      </w:r>
      <w:proofErr w:type="spellEnd"/>
      <w:r>
        <w:t xml:space="preserve"> ოჯახის ექიმების ჭრილში. </w:t>
      </w:r>
    </w:p>
  </w:footnote>
  <w:footnote w:id="8">
    <w:p w14:paraId="21FEA0E2" w14:textId="77777777" w:rsidR="0022243A" w:rsidRPr="00AB7A64" w:rsidRDefault="0022243A" w:rsidP="00124CD6">
      <w:pPr>
        <w:pStyle w:val="FootnoteText"/>
      </w:pPr>
      <w:r>
        <w:rPr>
          <w:rStyle w:val="FootnoteReference"/>
        </w:rPr>
        <w:footnoteRef/>
      </w:r>
      <w:r w:rsidRPr="00F20889">
        <w:t xml:space="preserve"> </w:t>
      </w:r>
      <w:r w:rsidRPr="00086FB5">
        <w:rPr>
          <w:i/>
          <w:iCs/>
        </w:rPr>
        <w:t>წყარო:</w:t>
      </w:r>
      <w:r>
        <w:t xml:space="preserve"> </w:t>
      </w:r>
      <w:r w:rsidRPr="00F20889">
        <w:t>ს</w:t>
      </w:r>
      <w:r w:rsidRPr="00AB7A64">
        <w:rPr>
          <w:rFonts w:cs="Sylfaen"/>
        </w:rPr>
        <w:t>აქართველოს მთავრობის</w:t>
      </w:r>
      <w:r>
        <w:rPr>
          <w:rFonts w:cs="Sylfaen"/>
        </w:rPr>
        <w:t xml:space="preserve"> </w:t>
      </w:r>
      <w:r w:rsidRPr="00AB7A64">
        <w:rPr>
          <w:rFonts w:cs="Sylfaen"/>
        </w:rPr>
        <w:t>დადგენილება №428</w:t>
      </w:r>
      <w:r>
        <w:rPr>
          <w:rFonts w:cs="Sylfaen"/>
        </w:rPr>
        <w:t xml:space="preserve">, </w:t>
      </w:r>
      <w:r w:rsidRPr="00AB7A64">
        <w:rPr>
          <w:rFonts w:cs="Sylfaen"/>
        </w:rPr>
        <w:t>2023 წლის 30 ოქტომბერი</w:t>
      </w:r>
      <w:r>
        <w:rPr>
          <w:rFonts w:cs="Sylfaen"/>
        </w:rPr>
        <w:t xml:space="preserve"> „</w:t>
      </w:r>
      <w:r w:rsidRPr="00AB7A64">
        <w:rPr>
          <w:rFonts w:cs="Sylfaen"/>
        </w:rPr>
        <w:t>2023 წლის ჯანმრთელობის დაცვის სახელმწიფო პროგრამების დამტკიცების შესახებ“ საქართველოს მთავრობის 2022 წლის 30 დეკემბრის №609 დადგენილებაში ცვლილების შეტანის</w:t>
      </w:r>
      <w:r>
        <w:rPr>
          <w:rFonts w:cs="Sylfaen"/>
        </w:rPr>
        <w:t xml:space="preserve"> თაობაზე</w:t>
      </w:r>
      <w:r>
        <w:t xml:space="preserve">. </w:t>
      </w:r>
      <w:hyperlink r:id="rId3" w:history="1">
        <w:r w:rsidRPr="00193BE2">
          <w:rPr>
            <w:rStyle w:val="Hyperlink"/>
          </w:rPr>
          <w:t>https://www.matsne.gov.ge/ka/document/view/5952086?publication=0</w:t>
        </w:r>
      </w:hyperlink>
    </w:p>
  </w:footnote>
  <w:footnote w:id="9">
    <w:p w14:paraId="072CE1E6" w14:textId="56C14616" w:rsidR="00E32847" w:rsidRPr="00D96B82" w:rsidRDefault="00E3284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86FB5">
        <w:rPr>
          <w:i/>
          <w:iCs/>
        </w:rPr>
        <w:t>წყარო:</w:t>
      </w:r>
      <w:r>
        <w:t xml:space="preserve"> </w:t>
      </w:r>
      <w:r w:rsidRPr="001224C4">
        <w:t xml:space="preserve">ბრძანება 428 განსაზღვრავს 7 სამუშაო დღეს, </w:t>
      </w:r>
      <w:r w:rsidRPr="00736C5C">
        <w:rPr>
          <w:rFonts w:cs="Sylfaen"/>
        </w:rPr>
        <w:t>ბავშვის</w:t>
      </w:r>
      <w:r w:rsidRPr="00736C5C">
        <w:t xml:space="preserve"> </w:t>
      </w:r>
      <w:r w:rsidRPr="00736C5C">
        <w:rPr>
          <w:rFonts w:cs="Sylfaen"/>
        </w:rPr>
        <w:t>ჯანმრთელობაზე</w:t>
      </w:r>
      <w:r w:rsidRPr="00736C5C">
        <w:t xml:space="preserve"> </w:t>
      </w:r>
      <w:r w:rsidRPr="00736C5C">
        <w:rPr>
          <w:rFonts w:cs="Sylfaen"/>
        </w:rPr>
        <w:t>ზედამხედველობის</w:t>
      </w:r>
      <w:r w:rsidRPr="00736C5C">
        <w:t xml:space="preserve"> </w:t>
      </w:r>
      <w:r w:rsidRPr="001224C4">
        <w:t>პროტოკოლი 2 კვირას</w:t>
      </w:r>
    </w:p>
  </w:footnote>
  <w:footnote w:id="10">
    <w:p w14:paraId="7B0119F1" w14:textId="77777777" w:rsidR="0022243A" w:rsidRPr="00B92510" w:rsidRDefault="0022243A" w:rsidP="00124CD6">
      <w:pPr>
        <w:pStyle w:val="FootnoteText"/>
      </w:pPr>
      <w:r>
        <w:rPr>
          <w:rStyle w:val="FootnoteReference"/>
        </w:rPr>
        <w:footnoteRef/>
      </w:r>
      <w:r w:rsidRPr="00A95841">
        <w:t xml:space="preserve"> </w:t>
      </w:r>
      <w:r w:rsidRPr="00086FB5">
        <w:rPr>
          <w:i/>
          <w:iCs/>
        </w:rPr>
        <w:t>წყარო:</w:t>
      </w:r>
      <w:r w:rsidRPr="00B92510">
        <w:rPr>
          <w:rFonts w:cs="Sylfaen"/>
        </w:rPr>
        <w:t xml:space="preserve"> „პროფილაქტიკური აცრების ეროვნული კალენდრის, იმ ინფექციური დაავადებების სიის, რომელთათვისაც სავალდებულოა პროფილაქტიკური აცრები და პროფილაქტიკური აცრების ჩატარების ასაკობრივი მაჩვენებლების, ვადებისა და იმუნიზაციის</w:t>
      </w:r>
      <w:r w:rsidRPr="00A95841">
        <w:rPr>
          <w:rFonts w:ascii="Helvetica Neue" w:hAnsi="Helvetica Neue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 w:rsidRPr="00B92510">
        <w:rPr>
          <w:rFonts w:cs="Sylfaen"/>
        </w:rPr>
        <w:t>მართვის წესების დამტკიცების შესახებ“ 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2019 წლის 16 სექტემბრის №01-60/ნ ბრძანებაში ცვლილების შეტანის შესახებ</w:t>
      </w:r>
      <w:r>
        <w:rPr>
          <w:rFonts w:cs="Sylfaen"/>
        </w:rPr>
        <w:t xml:space="preserve">. </w:t>
      </w:r>
      <w:hyperlink r:id="rId4" w:history="1">
        <w:r w:rsidRPr="00193BE2">
          <w:rPr>
            <w:rStyle w:val="Hyperlink"/>
            <w:rFonts w:cs="Sylfaen"/>
          </w:rPr>
          <w:t>https://www.matsne.gov.ge/ka/document/view/4869455?publication=0</w:t>
        </w:r>
      </w:hyperlink>
      <w:r>
        <w:rPr>
          <w:rFonts w:cs="Sylfaen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18E9C" w14:textId="77777777" w:rsidR="00676BF2" w:rsidRDefault="00676B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2312"/>
    <w:multiLevelType w:val="hybridMultilevel"/>
    <w:tmpl w:val="0B6C6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05A6E"/>
    <w:multiLevelType w:val="hybridMultilevel"/>
    <w:tmpl w:val="D506C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B680C"/>
    <w:multiLevelType w:val="hybridMultilevel"/>
    <w:tmpl w:val="A0BAA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C07C2"/>
    <w:multiLevelType w:val="hybridMultilevel"/>
    <w:tmpl w:val="91EEC2B8"/>
    <w:lvl w:ilvl="0" w:tplc="043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8B3397"/>
    <w:multiLevelType w:val="hybridMultilevel"/>
    <w:tmpl w:val="A9F81CBE"/>
    <w:lvl w:ilvl="0" w:tplc="043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9C3ABF"/>
    <w:multiLevelType w:val="hybridMultilevel"/>
    <w:tmpl w:val="C1A42AE0"/>
    <w:lvl w:ilvl="0" w:tplc="043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5F7FB4"/>
    <w:multiLevelType w:val="hybridMultilevel"/>
    <w:tmpl w:val="A85A27F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0F15B4"/>
    <w:multiLevelType w:val="hybridMultilevel"/>
    <w:tmpl w:val="AAB802EA"/>
    <w:lvl w:ilvl="0" w:tplc="9188BC6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90019">
      <w:start w:val="1"/>
      <w:numFmt w:val="lowerLetter"/>
      <w:lvlText w:val="%2."/>
      <w:lvlJc w:val="left"/>
      <w:pPr>
        <w:ind w:left="-1440" w:hanging="360"/>
      </w:pPr>
    </w:lvl>
    <w:lvl w:ilvl="2" w:tplc="0409001B">
      <w:start w:val="1"/>
      <w:numFmt w:val="lowerRoman"/>
      <w:lvlText w:val="%3."/>
      <w:lvlJc w:val="right"/>
      <w:pPr>
        <w:ind w:left="-720" w:hanging="180"/>
      </w:pPr>
    </w:lvl>
    <w:lvl w:ilvl="3" w:tplc="0409000F">
      <w:start w:val="1"/>
      <w:numFmt w:val="decimal"/>
      <w:lvlText w:val="%4."/>
      <w:lvlJc w:val="left"/>
      <w:pPr>
        <w:ind w:left="0" w:hanging="360"/>
      </w:pPr>
    </w:lvl>
    <w:lvl w:ilvl="4" w:tplc="04090019">
      <w:start w:val="1"/>
      <w:numFmt w:val="lowerLetter"/>
      <w:lvlText w:val="%5."/>
      <w:lvlJc w:val="left"/>
      <w:pPr>
        <w:ind w:left="720" w:hanging="360"/>
      </w:pPr>
    </w:lvl>
    <w:lvl w:ilvl="5" w:tplc="0409001B">
      <w:start w:val="1"/>
      <w:numFmt w:val="lowerRoman"/>
      <w:lvlText w:val="%6."/>
      <w:lvlJc w:val="right"/>
      <w:pPr>
        <w:ind w:left="1440" w:hanging="180"/>
      </w:pPr>
    </w:lvl>
    <w:lvl w:ilvl="6" w:tplc="0409000F" w:tentative="1">
      <w:start w:val="1"/>
      <w:numFmt w:val="decimal"/>
      <w:lvlText w:val="%7."/>
      <w:lvlJc w:val="left"/>
      <w:pPr>
        <w:ind w:left="2160" w:hanging="360"/>
      </w:pPr>
    </w:lvl>
    <w:lvl w:ilvl="7" w:tplc="04090019" w:tentative="1">
      <w:start w:val="1"/>
      <w:numFmt w:val="lowerLetter"/>
      <w:lvlText w:val="%8."/>
      <w:lvlJc w:val="left"/>
      <w:pPr>
        <w:ind w:left="2880" w:hanging="360"/>
      </w:pPr>
    </w:lvl>
    <w:lvl w:ilvl="8" w:tplc="0409001B" w:tentative="1">
      <w:start w:val="1"/>
      <w:numFmt w:val="lowerRoman"/>
      <w:lvlText w:val="%9."/>
      <w:lvlJc w:val="right"/>
      <w:pPr>
        <w:ind w:left="3600" w:hanging="180"/>
      </w:pPr>
    </w:lvl>
  </w:abstractNum>
  <w:abstractNum w:abstractNumId="8" w15:restartNumberingAfterBreak="0">
    <w:nsid w:val="5E0A602B"/>
    <w:multiLevelType w:val="hybridMultilevel"/>
    <w:tmpl w:val="3A32DC44"/>
    <w:lvl w:ilvl="0" w:tplc="043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EC5970"/>
    <w:multiLevelType w:val="hybridMultilevel"/>
    <w:tmpl w:val="866C7B3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7F469D"/>
    <w:multiLevelType w:val="hybridMultilevel"/>
    <w:tmpl w:val="87704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D33955"/>
    <w:multiLevelType w:val="hybridMultilevel"/>
    <w:tmpl w:val="A85A2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217CC1"/>
    <w:multiLevelType w:val="hybridMultilevel"/>
    <w:tmpl w:val="AAA02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DA18D5"/>
    <w:multiLevelType w:val="hybridMultilevel"/>
    <w:tmpl w:val="50D42A1A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4AA0175"/>
    <w:multiLevelType w:val="hybridMultilevel"/>
    <w:tmpl w:val="20AA907A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7"/>
  </w:num>
  <w:num w:numId="5">
    <w:abstractNumId w:val="0"/>
  </w:num>
  <w:num w:numId="6">
    <w:abstractNumId w:val="13"/>
  </w:num>
  <w:num w:numId="7">
    <w:abstractNumId w:val="14"/>
  </w:num>
  <w:num w:numId="8">
    <w:abstractNumId w:val="12"/>
  </w:num>
  <w:num w:numId="9">
    <w:abstractNumId w:val="11"/>
  </w:num>
  <w:num w:numId="10">
    <w:abstractNumId w:val="10"/>
  </w:num>
  <w:num w:numId="11">
    <w:abstractNumId w:val="6"/>
  </w:num>
  <w:num w:numId="12">
    <w:abstractNumId w:val="8"/>
  </w:num>
  <w:num w:numId="13">
    <w:abstractNumId w:val="3"/>
  </w:num>
  <w:num w:numId="14">
    <w:abstractNumId w:val="5"/>
  </w:num>
  <w:num w:numId="15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20"/>
  <w:hyphenationZone w:val="141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EB"/>
    <w:rsid w:val="000013DB"/>
    <w:rsid w:val="00002613"/>
    <w:rsid w:val="00003B9F"/>
    <w:rsid w:val="00004C6B"/>
    <w:rsid w:val="00004E97"/>
    <w:rsid w:val="000057DA"/>
    <w:rsid w:val="00007082"/>
    <w:rsid w:val="00013778"/>
    <w:rsid w:val="00014D1A"/>
    <w:rsid w:val="00020939"/>
    <w:rsid w:val="00021B62"/>
    <w:rsid w:val="00025046"/>
    <w:rsid w:val="00030E5F"/>
    <w:rsid w:val="000314AB"/>
    <w:rsid w:val="00031A66"/>
    <w:rsid w:val="00031B22"/>
    <w:rsid w:val="00034F8E"/>
    <w:rsid w:val="00035508"/>
    <w:rsid w:val="00035ECD"/>
    <w:rsid w:val="00041BEB"/>
    <w:rsid w:val="00053159"/>
    <w:rsid w:val="0005518B"/>
    <w:rsid w:val="000554A0"/>
    <w:rsid w:val="00055F78"/>
    <w:rsid w:val="00067025"/>
    <w:rsid w:val="00067F45"/>
    <w:rsid w:val="00070808"/>
    <w:rsid w:val="0007095F"/>
    <w:rsid w:val="000723B0"/>
    <w:rsid w:val="00072B8E"/>
    <w:rsid w:val="00072C9D"/>
    <w:rsid w:val="00074222"/>
    <w:rsid w:val="000747E0"/>
    <w:rsid w:val="00075028"/>
    <w:rsid w:val="00075525"/>
    <w:rsid w:val="000755B4"/>
    <w:rsid w:val="0008135C"/>
    <w:rsid w:val="000818BE"/>
    <w:rsid w:val="00083BD0"/>
    <w:rsid w:val="000855EF"/>
    <w:rsid w:val="000877B6"/>
    <w:rsid w:val="0009018E"/>
    <w:rsid w:val="00090E2D"/>
    <w:rsid w:val="00091B31"/>
    <w:rsid w:val="0009215F"/>
    <w:rsid w:val="0009405A"/>
    <w:rsid w:val="000941EB"/>
    <w:rsid w:val="0009507E"/>
    <w:rsid w:val="0009525F"/>
    <w:rsid w:val="000961B6"/>
    <w:rsid w:val="000964C7"/>
    <w:rsid w:val="00096B48"/>
    <w:rsid w:val="000A0108"/>
    <w:rsid w:val="000A6D94"/>
    <w:rsid w:val="000A71CC"/>
    <w:rsid w:val="000A78D4"/>
    <w:rsid w:val="000B0D34"/>
    <w:rsid w:val="000B1531"/>
    <w:rsid w:val="000B1C1F"/>
    <w:rsid w:val="000B3859"/>
    <w:rsid w:val="000B3B30"/>
    <w:rsid w:val="000B5318"/>
    <w:rsid w:val="000B53F6"/>
    <w:rsid w:val="000B5422"/>
    <w:rsid w:val="000B562C"/>
    <w:rsid w:val="000B5697"/>
    <w:rsid w:val="000B68C5"/>
    <w:rsid w:val="000B6BF0"/>
    <w:rsid w:val="000C3689"/>
    <w:rsid w:val="000C3B74"/>
    <w:rsid w:val="000C44CA"/>
    <w:rsid w:val="000C5003"/>
    <w:rsid w:val="000C58E9"/>
    <w:rsid w:val="000C6075"/>
    <w:rsid w:val="000C7D8E"/>
    <w:rsid w:val="000D0859"/>
    <w:rsid w:val="000D3567"/>
    <w:rsid w:val="000D5E20"/>
    <w:rsid w:val="000E1CB2"/>
    <w:rsid w:val="000E1F3D"/>
    <w:rsid w:val="000E2AF8"/>
    <w:rsid w:val="000E5094"/>
    <w:rsid w:val="000F049F"/>
    <w:rsid w:val="000F0A44"/>
    <w:rsid w:val="000F24B6"/>
    <w:rsid w:val="000F2541"/>
    <w:rsid w:val="000F26F8"/>
    <w:rsid w:val="000F2A6A"/>
    <w:rsid w:val="000F3D0B"/>
    <w:rsid w:val="000F5199"/>
    <w:rsid w:val="000F770D"/>
    <w:rsid w:val="00101508"/>
    <w:rsid w:val="00104F08"/>
    <w:rsid w:val="0010577A"/>
    <w:rsid w:val="00107D75"/>
    <w:rsid w:val="00110093"/>
    <w:rsid w:val="00112147"/>
    <w:rsid w:val="00115F42"/>
    <w:rsid w:val="00116302"/>
    <w:rsid w:val="001177D7"/>
    <w:rsid w:val="001205DB"/>
    <w:rsid w:val="001206D0"/>
    <w:rsid w:val="0012332E"/>
    <w:rsid w:val="00123395"/>
    <w:rsid w:val="00123660"/>
    <w:rsid w:val="00124CD6"/>
    <w:rsid w:val="00125C1E"/>
    <w:rsid w:val="0012645A"/>
    <w:rsid w:val="00131F6E"/>
    <w:rsid w:val="00132487"/>
    <w:rsid w:val="001325C7"/>
    <w:rsid w:val="00133D96"/>
    <w:rsid w:val="0013778F"/>
    <w:rsid w:val="00144065"/>
    <w:rsid w:val="00147E18"/>
    <w:rsid w:val="00152C72"/>
    <w:rsid w:val="00153234"/>
    <w:rsid w:val="001540AB"/>
    <w:rsid w:val="001565C7"/>
    <w:rsid w:val="00162C29"/>
    <w:rsid w:val="00162F98"/>
    <w:rsid w:val="001635F9"/>
    <w:rsid w:val="001636B7"/>
    <w:rsid w:val="00163ECA"/>
    <w:rsid w:val="001645C5"/>
    <w:rsid w:val="001663F4"/>
    <w:rsid w:val="001668A9"/>
    <w:rsid w:val="00166FAF"/>
    <w:rsid w:val="00173A0A"/>
    <w:rsid w:val="00174E32"/>
    <w:rsid w:val="00175223"/>
    <w:rsid w:val="00175503"/>
    <w:rsid w:val="00176637"/>
    <w:rsid w:val="00177CD5"/>
    <w:rsid w:val="001805CC"/>
    <w:rsid w:val="00180A14"/>
    <w:rsid w:val="00181631"/>
    <w:rsid w:val="001822EF"/>
    <w:rsid w:val="001835D4"/>
    <w:rsid w:val="00184A2B"/>
    <w:rsid w:val="001857B5"/>
    <w:rsid w:val="00187C96"/>
    <w:rsid w:val="0019033F"/>
    <w:rsid w:val="001921A0"/>
    <w:rsid w:val="001945E8"/>
    <w:rsid w:val="0019526F"/>
    <w:rsid w:val="001960A7"/>
    <w:rsid w:val="00196BB5"/>
    <w:rsid w:val="001A11A6"/>
    <w:rsid w:val="001A1FB5"/>
    <w:rsid w:val="001A2495"/>
    <w:rsid w:val="001A2C8C"/>
    <w:rsid w:val="001A6810"/>
    <w:rsid w:val="001B0499"/>
    <w:rsid w:val="001B17C9"/>
    <w:rsid w:val="001B2457"/>
    <w:rsid w:val="001B47AA"/>
    <w:rsid w:val="001C0773"/>
    <w:rsid w:val="001C312C"/>
    <w:rsid w:val="001C34AC"/>
    <w:rsid w:val="001C35DD"/>
    <w:rsid w:val="001C38E6"/>
    <w:rsid w:val="001C505D"/>
    <w:rsid w:val="001C5394"/>
    <w:rsid w:val="001C630B"/>
    <w:rsid w:val="001C6E60"/>
    <w:rsid w:val="001C75CB"/>
    <w:rsid w:val="001C778B"/>
    <w:rsid w:val="001D1E0A"/>
    <w:rsid w:val="001D1EA6"/>
    <w:rsid w:val="001D2AF8"/>
    <w:rsid w:val="001D408E"/>
    <w:rsid w:val="001E0D13"/>
    <w:rsid w:val="001E13E8"/>
    <w:rsid w:val="001E2A56"/>
    <w:rsid w:val="001E2EDA"/>
    <w:rsid w:val="001E4B93"/>
    <w:rsid w:val="001E578A"/>
    <w:rsid w:val="001E589F"/>
    <w:rsid w:val="001F0771"/>
    <w:rsid w:val="001F1A17"/>
    <w:rsid w:val="001F216B"/>
    <w:rsid w:val="001F2EB0"/>
    <w:rsid w:val="001F3AE7"/>
    <w:rsid w:val="001F559D"/>
    <w:rsid w:val="001F5B55"/>
    <w:rsid w:val="001F5E1C"/>
    <w:rsid w:val="00202406"/>
    <w:rsid w:val="00204B1C"/>
    <w:rsid w:val="00205030"/>
    <w:rsid w:val="00207CF9"/>
    <w:rsid w:val="002107C5"/>
    <w:rsid w:val="002108CA"/>
    <w:rsid w:val="00212689"/>
    <w:rsid w:val="002141A7"/>
    <w:rsid w:val="00214B1C"/>
    <w:rsid w:val="00215688"/>
    <w:rsid w:val="00217A33"/>
    <w:rsid w:val="00220A09"/>
    <w:rsid w:val="00221D0B"/>
    <w:rsid w:val="00221FB4"/>
    <w:rsid w:val="0022243A"/>
    <w:rsid w:val="002239AF"/>
    <w:rsid w:val="0022475A"/>
    <w:rsid w:val="0022480A"/>
    <w:rsid w:val="00224EB8"/>
    <w:rsid w:val="00224F76"/>
    <w:rsid w:val="002320C0"/>
    <w:rsid w:val="00233783"/>
    <w:rsid w:val="00237C70"/>
    <w:rsid w:val="00242D18"/>
    <w:rsid w:val="00245658"/>
    <w:rsid w:val="0024655C"/>
    <w:rsid w:val="002519D0"/>
    <w:rsid w:val="00251B23"/>
    <w:rsid w:val="002521CC"/>
    <w:rsid w:val="00253F2C"/>
    <w:rsid w:val="002554FB"/>
    <w:rsid w:val="002557BB"/>
    <w:rsid w:val="00260CAE"/>
    <w:rsid w:val="00261ADE"/>
    <w:rsid w:val="00264D0C"/>
    <w:rsid w:val="0026530D"/>
    <w:rsid w:val="00265385"/>
    <w:rsid w:val="002676B1"/>
    <w:rsid w:val="0027319B"/>
    <w:rsid w:val="00275840"/>
    <w:rsid w:val="0027699B"/>
    <w:rsid w:val="002775A7"/>
    <w:rsid w:val="00277D71"/>
    <w:rsid w:val="00280BAB"/>
    <w:rsid w:val="00281580"/>
    <w:rsid w:val="0028203D"/>
    <w:rsid w:val="00282792"/>
    <w:rsid w:val="00282D65"/>
    <w:rsid w:val="002915E7"/>
    <w:rsid w:val="00292566"/>
    <w:rsid w:val="00296545"/>
    <w:rsid w:val="002965FE"/>
    <w:rsid w:val="002978F0"/>
    <w:rsid w:val="002A09CF"/>
    <w:rsid w:val="002A3BE6"/>
    <w:rsid w:val="002A4487"/>
    <w:rsid w:val="002A596C"/>
    <w:rsid w:val="002A7EC0"/>
    <w:rsid w:val="002B02E0"/>
    <w:rsid w:val="002B047B"/>
    <w:rsid w:val="002B093B"/>
    <w:rsid w:val="002B2C9E"/>
    <w:rsid w:val="002B4EB6"/>
    <w:rsid w:val="002B7613"/>
    <w:rsid w:val="002B78AF"/>
    <w:rsid w:val="002C058E"/>
    <w:rsid w:val="002C066E"/>
    <w:rsid w:val="002C11AB"/>
    <w:rsid w:val="002C1975"/>
    <w:rsid w:val="002C1C61"/>
    <w:rsid w:val="002C4CA4"/>
    <w:rsid w:val="002C752A"/>
    <w:rsid w:val="002D1FEB"/>
    <w:rsid w:val="002D3F6E"/>
    <w:rsid w:val="002D44C7"/>
    <w:rsid w:val="002D52C5"/>
    <w:rsid w:val="002D5A7B"/>
    <w:rsid w:val="002D64EA"/>
    <w:rsid w:val="002E1B2A"/>
    <w:rsid w:val="002E390D"/>
    <w:rsid w:val="002E4AD0"/>
    <w:rsid w:val="002E6D9F"/>
    <w:rsid w:val="002E7C42"/>
    <w:rsid w:val="002F075B"/>
    <w:rsid w:val="002F0BC6"/>
    <w:rsid w:val="002F0E0A"/>
    <w:rsid w:val="002F1772"/>
    <w:rsid w:val="002F2DDC"/>
    <w:rsid w:val="002F7DAB"/>
    <w:rsid w:val="00300723"/>
    <w:rsid w:val="003030A1"/>
    <w:rsid w:val="00305147"/>
    <w:rsid w:val="00305A4B"/>
    <w:rsid w:val="00307183"/>
    <w:rsid w:val="00312162"/>
    <w:rsid w:val="00314F1B"/>
    <w:rsid w:val="00315B37"/>
    <w:rsid w:val="00316D07"/>
    <w:rsid w:val="00316DAD"/>
    <w:rsid w:val="00317832"/>
    <w:rsid w:val="00320573"/>
    <w:rsid w:val="003213D5"/>
    <w:rsid w:val="00323688"/>
    <w:rsid w:val="0032612B"/>
    <w:rsid w:val="00326AAF"/>
    <w:rsid w:val="00327348"/>
    <w:rsid w:val="0032760E"/>
    <w:rsid w:val="003336C5"/>
    <w:rsid w:val="00334E25"/>
    <w:rsid w:val="00335286"/>
    <w:rsid w:val="0033529E"/>
    <w:rsid w:val="003371CB"/>
    <w:rsid w:val="0034067D"/>
    <w:rsid w:val="003416D4"/>
    <w:rsid w:val="00341A01"/>
    <w:rsid w:val="00341D2B"/>
    <w:rsid w:val="0034203C"/>
    <w:rsid w:val="00343027"/>
    <w:rsid w:val="0034341B"/>
    <w:rsid w:val="0034637E"/>
    <w:rsid w:val="00347F5A"/>
    <w:rsid w:val="003503D7"/>
    <w:rsid w:val="0035051C"/>
    <w:rsid w:val="00350EE5"/>
    <w:rsid w:val="00355CA0"/>
    <w:rsid w:val="00361A2E"/>
    <w:rsid w:val="003625D5"/>
    <w:rsid w:val="00362E7D"/>
    <w:rsid w:val="0036310A"/>
    <w:rsid w:val="0036478C"/>
    <w:rsid w:val="003658A0"/>
    <w:rsid w:val="00365AB6"/>
    <w:rsid w:val="003716C6"/>
    <w:rsid w:val="00372012"/>
    <w:rsid w:val="0037247C"/>
    <w:rsid w:val="00372DD4"/>
    <w:rsid w:val="0037329A"/>
    <w:rsid w:val="003737CF"/>
    <w:rsid w:val="00373DF6"/>
    <w:rsid w:val="003740C9"/>
    <w:rsid w:val="00381EF1"/>
    <w:rsid w:val="00386E4A"/>
    <w:rsid w:val="00387E9F"/>
    <w:rsid w:val="00393D56"/>
    <w:rsid w:val="0039549D"/>
    <w:rsid w:val="003A2133"/>
    <w:rsid w:val="003A5253"/>
    <w:rsid w:val="003A5B19"/>
    <w:rsid w:val="003A64A8"/>
    <w:rsid w:val="003A733F"/>
    <w:rsid w:val="003A7F88"/>
    <w:rsid w:val="003B2904"/>
    <w:rsid w:val="003B4A46"/>
    <w:rsid w:val="003B5768"/>
    <w:rsid w:val="003C4CD5"/>
    <w:rsid w:val="003C4E42"/>
    <w:rsid w:val="003C5A43"/>
    <w:rsid w:val="003C6396"/>
    <w:rsid w:val="003D020C"/>
    <w:rsid w:val="003D3884"/>
    <w:rsid w:val="003D3C00"/>
    <w:rsid w:val="003D48EF"/>
    <w:rsid w:val="003D6E04"/>
    <w:rsid w:val="003E66A7"/>
    <w:rsid w:val="003E68A8"/>
    <w:rsid w:val="003F05F5"/>
    <w:rsid w:val="003F4385"/>
    <w:rsid w:val="003F7F9C"/>
    <w:rsid w:val="004003BE"/>
    <w:rsid w:val="00400955"/>
    <w:rsid w:val="00400D57"/>
    <w:rsid w:val="00403030"/>
    <w:rsid w:val="00403A31"/>
    <w:rsid w:val="00403E4A"/>
    <w:rsid w:val="0040402F"/>
    <w:rsid w:val="004043E5"/>
    <w:rsid w:val="004055F8"/>
    <w:rsid w:val="00406B00"/>
    <w:rsid w:val="004075B9"/>
    <w:rsid w:val="00412ABB"/>
    <w:rsid w:val="0041304F"/>
    <w:rsid w:val="00413580"/>
    <w:rsid w:val="00415AAE"/>
    <w:rsid w:val="004216C1"/>
    <w:rsid w:val="00422814"/>
    <w:rsid w:val="00424DFB"/>
    <w:rsid w:val="00430030"/>
    <w:rsid w:val="004302C7"/>
    <w:rsid w:val="00430F98"/>
    <w:rsid w:val="0043127E"/>
    <w:rsid w:val="004315E2"/>
    <w:rsid w:val="00432DEE"/>
    <w:rsid w:val="00433542"/>
    <w:rsid w:val="00436561"/>
    <w:rsid w:val="0043758C"/>
    <w:rsid w:val="00437B12"/>
    <w:rsid w:val="00437D23"/>
    <w:rsid w:val="004449B4"/>
    <w:rsid w:val="00446DD5"/>
    <w:rsid w:val="00446F3B"/>
    <w:rsid w:val="004507FE"/>
    <w:rsid w:val="0045328F"/>
    <w:rsid w:val="004535C7"/>
    <w:rsid w:val="00462B09"/>
    <w:rsid w:val="00462C6F"/>
    <w:rsid w:val="00462E34"/>
    <w:rsid w:val="004649B3"/>
    <w:rsid w:val="0046507C"/>
    <w:rsid w:val="00466900"/>
    <w:rsid w:val="00467B42"/>
    <w:rsid w:val="00475C0E"/>
    <w:rsid w:val="00475CBA"/>
    <w:rsid w:val="00476905"/>
    <w:rsid w:val="004779CA"/>
    <w:rsid w:val="00477E3A"/>
    <w:rsid w:val="00483708"/>
    <w:rsid w:val="00483B3C"/>
    <w:rsid w:val="0048420E"/>
    <w:rsid w:val="00485AB0"/>
    <w:rsid w:val="00491FA0"/>
    <w:rsid w:val="00496095"/>
    <w:rsid w:val="00497067"/>
    <w:rsid w:val="004A067A"/>
    <w:rsid w:val="004A2C89"/>
    <w:rsid w:val="004A32AC"/>
    <w:rsid w:val="004A4C16"/>
    <w:rsid w:val="004A5833"/>
    <w:rsid w:val="004A5AD2"/>
    <w:rsid w:val="004A5E59"/>
    <w:rsid w:val="004B2002"/>
    <w:rsid w:val="004B4959"/>
    <w:rsid w:val="004B595A"/>
    <w:rsid w:val="004B6621"/>
    <w:rsid w:val="004C10E4"/>
    <w:rsid w:val="004C3B01"/>
    <w:rsid w:val="004C758F"/>
    <w:rsid w:val="004C7960"/>
    <w:rsid w:val="004D0B8F"/>
    <w:rsid w:val="004D39FC"/>
    <w:rsid w:val="004E1CA0"/>
    <w:rsid w:val="004E4D59"/>
    <w:rsid w:val="004E6F83"/>
    <w:rsid w:val="004F0A68"/>
    <w:rsid w:val="004F0CF6"/>
    <w:rsid w:val="004F19E9"/>
    <w:rsid w:val="004F1A4A"/>
    <w:rsid w:val="004F2508"/>
    <w:rsid w:val="004F3F48"/>
    <w:rsid w:val="004F5117"/>
    <w:rsid w:val="004F68BA"/>
    <w:rsid w:val="004F7110"/>
    <w:rsid w:val="004F75A2"/>
    <w:rsid w:val="00500F89"/>
    <w:rsid w:val="00502022"/>
    <w:rsid w:val="005061C0"/>
    <w:rsid w:val="0051002F"/>
    <w:rsid w:val="005107EF"/>
    <w:rsid w:val="00511A74"/>
    <w:rsid w:val="00512FFA"/>
    <w:rsid w:val="00514A97"/>
    <w:rsid w:val="00520849"/>
    <w:rsid w:val="005223B7"/>
    <w:rsid w:val="00522F2B"/>
    <w:rsid w:val="00523DFB"/>
    <w:rsid w:val="00524569"/>
    <w:rsid w:val="005263BB"/>
    <w:rsid w:val="005271DA"/>
    <w:rsid w:val="005338AB"/>
    <w:rsid w:val="00533F90"/>
    <w:rsid w:val="00534AC5"/>
    <w:rsid w:val="00537DC4"/>
    <w:rsid w:val="005438C9"/>
    <w:rsid w:val="005462A1"/>
    <w:rsid w:val="00546B34"/>
    <w:rsid w:val="005479CD"/>
    <w:rsid w:val="0055103E"/>
    <w:rsid w:val="005516E8"/>
    <w:rsid w:val="005536D1"/>
    <w:rsid w:val="0055561C"/>
    <w:rsid w:val="005559BC"/>
    <w:rsid w:val="00557407"/>
    <w:rsid w:val="00557492"/>
    <w:rsid w:val="005578C9"/>
    <w:rsid w:val="0056119E"/>
    <w:rsid w:val="00561654"/>
    <w:rsid w:val="00562359"/>
    <w:rsid w:val="005624DE"/>
    <w:rsid w:val="005665B5"/>
    <w:rsid w:val="0057399E"/>
    <w:rsid w:val="00573AD4"/>
    <w:rsid w:val="005772AE"/>
    <w:rsid w:val="0058013C"/>
    <w:rsid w:val="005819DF"/>
    <w:rsid w:val="0058786D"/>
    <w:rsid w:val="00590E3E"/>
    <w:rsid w:val="005914A4"/>
    <w:rsid w:val="0059171A"/>
    <w:rsid w:val="00591AEB"/>
    <w:rsid w:val="00593341"/>
    <w:rsid w:val="00593F86"/>
    <w:rsid w:val="00596098"/>
    <w:rsid w:val="00596B67"/>
    <w:rsid w:val="00597B2B"/>
    <w:rsid w:val="00597E9B"/>
    <w:rsid w:val="005A064C"/>
    <w:rsid w:val="005A4313"/>
    <w:rsid w:val="005A5123"/>
    <w:rsid w:val="005A5F72"/>
    <w:rsid w:val="005A608A"/>
    <w:rsid w:val="005A6B31"/>
    <w:rsid w:val="005A7567"/>
    <w:rsid w:val="005B0092"/>
    <w:rsid w:val="005B0276"/>
    <w:rsid w:val="005B2417"/>
    <w:rsid w:val="005B2693"/>
    <w:rsid w:val="005B2850"/>
    <w:rsid w:val="005B31FF"/>
    <w:rsid w:val="005B3253"/>
    <w:rsid w:val="005B3900"/>
    <w:rsid w:val="005B445D"/>
    <w:rsid w:val="005B4C5D"/>
    <w:rsid w:val="005B52EF"/>
    <w:rsid w:val="005C0144"/>
    <w:rsid w:val="005C063D"/>
    <w:rsid w:val="005C12C1"/>
    <w:rsid w:val="005C77E0"/>
    <w:rsid w:val="005D025A"/>
    <w:rsid w:val="005D04E2"/>
    <w:rsid w:val="005D3B8E"/>
    <w:rsid w:val="005D43C2"/>
    <w:rsid w:val="005D4D45"/>
    <w:rsid w:val="005D657B"/>
    <w:rsid w:val="005D6DDC"/>
    <w:rsid w:val="005E1232"/>
    <w:rsid w:val="005E32AC"/>
    <w:rsid w:val="005E3723"/>
    <w:rsid w:val="005E3D57"/>
    <w:rsid w:val="005E43AA"/>
    <w:rsid w:val="005E4BD4"/>
    <w:rsid w:val="005F0283"/>
    <w:rsid w:val="005F1502"/>
    <w:rsid w:val="005F224A"/>
    <w:rsid w:val="005F5B42"/>
    <w:rsid w:val="005F7A70"/>
    <w:rsid w:val="00601A6F"/>
    <w:rsid w:val="00601EBB"/>
    <w:rsid w:val="00603554"/>
    <w:rsid w:val="006039D2"/>
    <w:rsid w:val="006039E1"/>
    <w:rsid w:val="00603A88"/>
    <w:rsid w:val="00604C8B"/>
    <w:rsid w:val="006051CB"/>
    <w:rsid w:val="00610BEE"/>
    <w:rsid w:val="00612016"/>
    <w:rsid w:val="006127B1"/>
    <w:rsid w:val="00612816"/>
    <w:rsid w:val="006133F2"/>
    <w:rsid w:val="00613A5F"/>
    <w:rsid w:val="00613D5A"/>
    <w:rsid w:val="0061699C"/>
    <w:rsid w:val="006172B8"/>
    <w:rsid w:val="00621E39"/>
    <w:rsid w:val="00621FB3"/>
    <w:rsid w:val="006220D9"/>
    <w:rsid w:val="006247A1"/>
    <w:rsid w:val="00624A9A"/>
    <w:rsid w:val="00624DEC"/>
    <w:rsid w:val="0062553A"/>
    <w:rsid w:val="006306C9"/>
    <w:rsid w:val="00632104"/>
    <w:rsid w:val="00632CBC"/>
    <w:rsid w:val="0063497C"/>
    <w:rsid w:val="006356D8"/>
    <w:rsid w:val="00636FA7"/>
    <w:rsid w:val="0063765D"/>
    <w:rsid w:val="006422AE"/>
    <w:rsid w:val="006426AA"/>
    <w:rsid w:val="006429D9"/>
    <w:rsid w:val="0064368D"/>
    <w:rsid w:val="006448C2"/>
    <w:rsid w:val="00646DA8"/>
    <w:rsid w:val="006514B3"/>
    <w:rsid w:val="006527F0"/>
    <w:rsid w:val="00656F49"/>
    <w:rsid w:val="0065712C"/>
    <w:rsid w:val="00657F60"/>
    <w:rsid w:val="00660899"/>
    <w:rsid w:val="006638D3"/>
    <w:rsid w:val="006641F8"/>
    <w:rsid w:val="00665C9E"/>
    <w:rsid w:val="00665E64"/>
    <w:rsid w:val="00667736"/>
    <w:rsid w:val="00670660"/>
    <w:rsid w:val="006710FC"/>
    <w:rsid w:val="00673A7A"/>
    <w:rsid w:val="00674A81"/>
    <w:rsid w:val="00676BF2"/>
    <w:rsid w:val="0067755F"/>
    <w:rsid w:val="00677A8B"/>
    <w:rsid w:val="006801E7"/>
    <w:rsid w:val="0068250F"/>
    <w:rsid w:val="00683081"/>
    <w:rsid w:val="006831CC"/>
    <w:rsid w:val="00683C57"/>
    <w:rsid w:val="00691445"/>
    <w:rsid w:val="006927C5"/>
    <w:rsid w:val="006A0CB8"/>
    <w:rsid w:val="006A1A92"/>
    <w:rsid w:val="006A4325"/>
    <w:rsid w:val="006A6C97"/>
    <w:rsid w:val="006A6E08"/>
    <w:rsid w:val="006B0290"/>
    <w:rsid w:val="006B0799"/>
    <w:rsid w:val="006B08A1"/>
    <w:rsid w:val="006B1065"/>
    <w:rsid w:val="006B1B95"/>
    <w:rsid w:val="006B1EA2"/>
    <w:rsid w:val="006B634F"/>
    <w:rsid w:val="006B6467"/>
    <w:rsid w:val="006B7580"/>
    <w:rsid w:val="006C3006"/>
    <w:rsid w:val="006C3575"/>
    <w:rsid w:val="006C45CF"/>
    <w:rsid w:val="006C6316"/>
    <w:rsid w:val="006C67B2"/>
    <w:rsid w:val="006C7D61"/>
    <w:rsid w:val="006D0917"/>
    <w:rsid w:val="006D2403"/>
    <w:rsid w:val="006E13C9"/>
    <w:rsid w:val="006E4B4D"/>
    <w:rsid w:val="006E59E4"/>
    <w:rsid w:val="006E6EC7"/>
    <w:rsid w:val="006E7052"/>
    <w:rsid w:val="006F4BCF"/>
    <w:rsid w:val="006F4CA6"/>
    <w:rsid w:val="006F65C8"/>
    <w:rsid w:val="006F7E45"/>
    <w:rsid w:val="00701578"/>
    <w:rsid w:val="00701F82"/>
    <w:rsid w:val="00702B2E"/>
    <w:rsid w:val="007040D0"/>
    <w:rsid w:val="00705588"/>
    <w:rsid w:val="00706AE8"/>
    <w:rsid w:val="007109BC"/>
    <w:rsid w:val="007132AC"/>
    <w:rsid w:val="007141F2"/>
    <w:rsid w:val="0071520C"/>
    <w:rsid w:val="00716046"/>
    <w:rsid w:val="00716A84"/>
    <w:rsid w:val="00716EB0"/>
    <w:rsid w:val="00720410"/>
    <w:rsid w:val="007212BF"/>
    <w:rsid w:val="00721596"/>
    <w:rsid w:val="007216DD"/>
    <w:rsid w:val="00722757"/>
    <w:rsid w:val="007228F9"/>
    <w:rsid w:val="00725622"/>
    <w:rsid w:val="007264FD"/>
    <w:rsid w:val="00726832"/>
    <w:rsid w:val="00726F12"/>
    <w:rsid w:val="0072769A"/>
    <w:rsid w:val="00727EC4"/>
    <w:rsid w:val="00731FA4"/>
    <w:rsid w:val="00735194"/>
    <w:rsid w:val="007363FC"/>
    <w:rsid w:val="0073673E"/>
    <w:rsid w:val="00736C0C"/>
    <w:rsid w:val="00741A4E"/>
    <w:rsid w:val="007448FE"/>
    <w:rsid w:val="007450D9"/>
    <w:rsid w:val="00745278"/>
    <w:rsid w:val="007502E4"/>
    <w:rsid w:val="007510D7"/>
    <w:rsid w:val="00753BCC"/>
    <w:rsid w:val="007567D7"/>
    <w:rsid w:val="00760C45"/>
    <w:rsid w:val="00761366"/>
    <w:rsid w:val="00763145"/>
    <w:rsid w:val="0076366D"/>
    <w:rsid w:val="00764692"/>
    <w:rsid w:val="00765443"/>
    <w:rsid w:val="00765EB7"/>
    <w:rsid w:val="00766325"/>
    <w:rsid w:val="007666CA"/>
    <w:rsid w:val="00767017"/>
    <w:rsid w:val="007705BC"/>
    <w:rsid w:val="00771B89"/>
    <w:rsid w:val="007723FB"/>
    <w:rsid w:val="00774FE4"/>
    <w:rsid w:val="00775099"/>
    <w:rsid w:val="007759DA"/>
    <w:rsid w:val="007769D3"/>
    <w:rsid w:val="00777913"/>
    <w:rsid w:val="00777E10"/>
    <w:rsid w:val="00783D12"/>
    <w:rsid w:val="00784799"/>
    <w:rsid w:val="0078604B"/>
    <w:rsid w:val="00786837"/>
    <w:rsid w:val="00792BA1"/>
    <w:rsid w:val="0079526E"/>
    <w:rsid w:val="00797325"/>
    <w:rsid w:val="007A0797"/>
    <w:rsid w:val="007A0948"/>
    <w:rsid w:val="007A50A7"/>
    <w:rsid w:val="007A7FE6"/>
    <w:rsid w:val="007B10CA"/>
    <w:rsid w:val="007B6B5C"/>
    <w:rsid w:val="007C1B47"/>
    <w:rsid w:val="007C1C36"/>
    <w:rsid w:val="007C211B"/>
    <w:rsid w:val="007C407A"/>
    <w:rsid w:val="007C438D"/>
    <w:rsid w:val="007C47F3"/>
    <w:rsid w:val="007C4C44"/>
    <w:rsid w:val="007C510E"/>
    <w:rsid w:val="007C61EE"/>
    <w:rsid w:val="007D017D"/>
    <w:rsid w:val="007D2D21"/>
    <w:rsid w:val="007D4D97"/>
    <w:rsid w:val="007E5C69"/>
    <w:rsid w:val="007F0E86"/>
    <w:rsid w:val="007F1381"/>
    <w:rsid w:val="007F24A3"/>
    <w:rsid w:val="007F2B53"/>
    <w:rsid w:val="007F5183"/>
    <w:rsid w:val="007F7296"/>
    <w:rsid w:val="0080323D"/>
    <w:rsid w:val="008035CA"/>
    <w:rsid w:val="0080425F"/>
    <w:rsid w:val="00804F74"/>
    <w:rsid w:val="0080589A"/>
    <w:rsid w:val="00807241"/>
    <w:rsid w:val="0081185A"/>
    <w:rsid w:val="00811F6A"/>
    <w:rsid w:val="0081226B"/>
    <w:rsid w:val="00822DF3"/>
    <w:rsid w:val="00824E38"/>
    <w:rsid w:val="00824F93"/>
    <w:rsid w:val="00826E70"/>
    <w:rsid w:val="0083613F"/>
    <w:rsid w:val="00840FFE"/>
    <w:rsid w:val="008420A2"/>
    <w:rsid w:val="00842469"/>
    <w:rsid w:val="0084433F"/>
    <w:rsid w:val="00845BE6"/>
    <w:rsid w:val="00845D8C"/>
    <w:rsid w:val="00847931"/>
    <w:rsid w:val="00853C82"/>
    <w:rsid w:val="008548C4"/>
    <w:rsid w:val="00855DBA"/>
    <w:rsid w:val="00856CCD"/>
    <w:rsid w:val="00862E8F"/>
    <w:rsid w:val="008631C8"/>
    <w:rsid w:val="0086367D"/>
    <w:rsid w:val="00864D2A"/>
    <w:rsid w:val="00865872"/>
    <w:rsid w:val="00866208"/>
    <w:rsid w:val="00870AFA"/>
    <w:rsid w:val="008739BD"/>
    <w:rsid w:val="00874B04"/>
    <w:rsid w:val="00874DE8"/>
    <w:rsid w:val="00875425"/>
    <w:rsid w:val="0087697A"/>
    <w:rsid w:val="00877FDE"/>
    <w:rsid w:val="00880DA3"/>
    <w:rsid w:val="00881526"/>
    <w:rsid w:val="0088289D"/>
    <w:rsid w:val="008852AA"/>
    <w:rsid w:val="00886A57"/>
    <w:rsid w:val="00890107"/>
    <w:rsid w:val="0089113A"/>
    <w:rsid w:val="00891443"/>
    <w:rsid w:val="00892452"/>
    <w:rsid w:val="008924E8"/>
    <w:rsid w:val="008944E5"/>
    <w:rsid w:val="00894AE1"/>
    <w:rsid w:val="00895309"/>
    <w:rsid w:val="00895401"/>
    <w:rsid w:val="008A0968"/>
    <w:rsid w:val="008A4F5D"/>
    <w:rsid w:val="008A5393"/>
    <w:rsid w:val="008A6D28"/>
    <w:rsid w:val="008B0CC9"/>
    <w:rsid w:val="008B1959"/>
    <w:rsid w:val="008B6AA2"/>
    <w:rsid w:val="008C4F28"/>
    <w:rsid w:val="008C5A9C"/>
    <w:rsid w:val="008D1650"/>
    <w:rsid w:val="008D1F98"/>
    <w:rsid w:val="008D754D"/>
    <w:rsid w:val="008E4E65"/>
    <w:rsid w:val="008F0201"/>
    <w:rsid w:val="008F19A8"/>
    <w:rsid w:val="008F2054"/>
    <w:rsid w:val="008F3FD9"/>
    <w:rsid w:val="008F4EEE"/>
    <w:rsid w:val="008F5D9C"/>
    <w:rsid w:val="008F7DF6"/>
    <w:rsid w:val="00901B07"/>
    <w:rsid w:val="009066D6"/>
    <w:rsid w:val="00907BFA"/>
    <w:rsid w:val="009138FB"/>
    <w:rsid w:val="00916584"/>
    <w:rsid w:val="0092485A"/>
    <w:rsid w:val="00924C3E"/>
    <w:rsid w:val="00926787"/>
    <w:rsid w:val="00933455"/>
    <w:rsid w:val="00935426"/>
    <w:rsid w:val="00936C37"/>
    <w:rsid w:val="0093738B"/>
    <w:rsid w:val="009422A5"/>
    <w:rsid w:val="00943800"/>
    <w:rsid w:val="009474CC"/>
    <w:rsid w:val="009523C4"/>
    <w:rsid w:val="00955239"/>
    <w:rsid w:val="00955FCC"/>
    <w:rsid w:val="00957572"/>
    <w:rsid w:val="00962275"/>
    <w:rsid w:val="00962A76"/>
    <w:rsid w:val="009669AF"/>
    <w:rsid w:val="00966B20"/>
    <w:rsid w:val="00967FFC"/>
    <w:rsid w:val="00974D16"/>
    <w:rsid w:val="00976979"/>
    <w:rsid w:val="00977D14"/>
    <w:rsid w:val="00981FBF"/>
    <w:rsid w:val="00982857"/>
    <w:rsid w:val="00984813"/>
    <w:rsid w:val="0098581B"/>
    <w:rsid w:val="00985DC9"/>
    <w:rsid w:val="0098628A"/>
    <w:rsid w:val="0098635D"/>
    <w:rsid w:val="0098718A"/>
    <w:rsid w:val="009872D9"/>
    <w:rsid w:val="00991E80"/>
    <w:rsid w:val="00996D7F"/>
    <w:rsid w:val="009A1001"/>
    <w:rsid w:val="009A1DF2"/>
    <w:rsid w:val="009A2EDD"/>
    <w:rsid w:val="009A5127"/>
    <w:rsid w:val="009A7D98"/>
    <w:rsid w:val="009B1EBF"/>
    <w:rsid w:val="009B2CA3"/>
    <w:rsid w:val="009B3E25"/>
    <w:rsid w:val="009B6A22"/>
    <w:rsid w:val="009C12BC"/>
    <w:rsid w:val="009C3171"/>
    <w:rsid w:val="009C3639"/>
    <w:rsid w:val="009D169D"/>
    <w:rsid w:val="009D48A6"/>
    <w:rsid w:val="009D5AD2"/>
    <w:rsid w:val="009D6093"/>
    <w:rsid w:val="009D7913"/>
    <w:rsid w:val="009E0A80"/>
    <w:rsid w:val="009E1771"/>
    <w:rsid w:val="009E306C"/>
    <w:rsid w:val="009E3D47"/>
    <w:rsid w:val="009E5061"/>
    <w:rsid w:val="009E5855"/>
    <w:rsid w:val="009F07EA"/>
    <w:rsid w:val="009F1451"/>
    <w:rsid w:val="009F6242"/>
    <w:rsid w:val="009F7FBA"/>
    <w:rsid w:val="00A03623"/>
    <w:rsid w:val="00A0413E"/>
    <w:rsid w:val="00A06A90"/>
    <w:rsid w:val="00A11C19"/>
    <w:rsid w:val="00A11DB4"/>
    <w:rsid w:val="00A126D4"/>
    <w:rsid w:val="00A15A99"/>
    <w:rsid w:val="00A15B9B"/>
    <w:rsid w:val="00A16134"/>
    <w:rsid w:val="00A21BBA"/>
    <w:rsid w:val="00A231B9"/>
    <w:rsid w:val="00A269EA"/>
    <w:rsid w:val="00A322D8"/>
    <w:rsid w:val="00A324D2"/>
    <w:rsid w:val="00A32ADF"/>
    <w:rsid w:val="00A35AE4"/>
    <w:rsid w:val="00A35BAF"/>
    <w:rsid w:val="00A372BC"/>
    <w:rsid w:val="00A409BE"/>
    <w:rsid w:val="00A42C0C"/>
    <w:rsid w:val="00A446DA"/>
    <w:rsid w:val="00A44D37"/>
    <w:rsid w:val="00A45B33"/>
    <w:rsid w:val="00A45DC9"/>
    <w:rsid w:val="00A51415"/>
    <w:rsid w:val="00A521B3"/>
    <w:rsid w:val="00A5278D"/>
    <w:rsid w:val="00A55CC9"/>
    <w:rsid w:val="00A56B5E"/>
    <w:rsid w:val="00A57118"/>
    <w:rsid w:val="00A60597"/>
    <w:rsid w:val="00A61076"/>
    <w:rsid w:val="00A63125"/>
    <w:rsid w:val="00A64ED5"/>
    <w:rsid w:val="00A6774F"/>
    <w:rsid w:val="00A70D00"/>
    <w:rsid w:val="00A766D2"/>
    <w:rsid w:val="00A77332"/>
    <w:rsid w:val="00A826F3"/>
    <w:rsid w:val="00A82BDA"/>
    <w:rsid w:val="00A8361A"/>
    <w:rsid w:val="00A8430E"/>
    <w:rsid w:val="00A92B53"/>
    <w:rsid w:val="00A934B3"/>
    <w:rsid w:val="00A93663"/>
    <w:rsid w:val="00A9501E"/>
    <w:rsid w:val="00A95478"/>
    <w:rsid w:val="00A95BF8"/>
    <w:rsid w:val="00A9656F"/>
    <w:rsid w:val="00A9675B"/>
    <w:rsid w:val="00A967AD"/>
    <w:rsid w:val="00A96DE4"/>
    <w:rsid w:val="00AA0D5C"/>
    <w:rsid w:val="00AA1641"/>
    <w:rsid w:val="00AA21D9"/>
    <w:rsid w:val="00AA500F"/>
    <w:rsid w:val="00AA5F7E"/>
    <w:rsid w:val="00AA64E7"/>
    <w:rsid w:val="00AA681D"/>
    <w:rsid w:val="00AA7DAF"/>
    <w:rsid w:val="00AA7E72"/>
    <w:rsid w:val="00AB02D2"/>
    <w:rsid w:val="00AB37E7"/>
    <w:rsid w:val="00AB52D3"/>
    <w:rsid w:val="00AB7805"/>
    <w:rsid w:val="00AB7EF4"/>
    <w:rsid w:val="00AC055D"/>
    <w:rsid w:val="00AC0B8A"/>
    <w:rsid w:val="00AC1DB7"/>
    <w:rsid w:val="00AC4191"/>
    <w:rsid w:val="00AC443E"/>
    <w:rsid w:val="00AC453F"/>
    <w:rsid w:val="00AC69C2"/>
    <w:rsid w:val="00AC71D4"/>
    <w:rsid w:val="00AD3BD9"/>
    <w:rsid w:val="00AD69B8"/>
    <w:rsid w:val="00AD74FB"/>
    <w:rsid w:val="00AE057F"/>
    <w:rsid w:val="00AE0B26"/>
    <w:rsid w:val="00AE2277"/>
    <w:rsid w:val="00AE33CC"/>
    <w:rsid w:val="00AE3627"/>
    <w:rsid w:val="00AE3EB9"/>
    <w:rsid w:val="00AE78EE"/>
    <w:rsid w:val="00AE7949"/>
    <w:rsid w:val="00AE7DC2"/>
    <w:rsid w:val="00AF06CF"/>
    <w:rsid w:val="00AF08E7"/>
    <w:rsid w:val="00AF1390"/>
    <w:rsid w:val="00AF21BE"/>
    <w:rsid w:val="00AF25D7"/>
    <w:rsid w:val="00AF2782"/>
    <w:rsid w:val="00AF46F7"/>
    <w:rsid w:val="00AF4FA8"/>
    <w:rsid w:val="00AF72CE"/>
    <w:rsid w:val="00AF7B7E"/>
    <w:rsid w:val="00AF7C9D"/>
    <w:rsid w:val="00B002B1"/>
    <w:rsid w:val="00B01CBD"/>
    <w:rsid w:val="00B028B5"/>
    <w:rsid w:val="00B03097"/>
    <w:rsid w:val="00B06E98"/>
    <w:rsid w:val="00B06F6B"/>
    <w:rsid w:val="00B07049"/>
    <w:rsid w:val="00B07E7B"/>
    <w:rsid w:val="00B1625B"/>
    <w:rsid w:val="00B167BE"/>
    <w:rsid w:val="00B2268F"/>
    <w:rsid w:val="00B229F4"/>
    <w:rsid w:val="00B23397"/>
    <w:rsid w:val="00B26FE5"/>
    <w:rsid w:val="00B27294"/>
    <w:rsid w:val="00B27EE8"/>
    <w:rsid w:val="00B3046A"/>
    <w:rsid w:val="00B31EFD"/>
    <w:rsid w:val="00B33D72"/>
    <w:rsid w:val="00B358C6"/>
    <w:rsid w:val="00B4133A"/>
    <w:rsid w:val="00B416F0"/>
    <w:rsid w:val="00B418D0"/>
    <w:rsid w:val="00B42574"/>
    <w:rsid w:val="00B445EA"/>
    <w:rsid w:val="00B47615"/>
    <w:rsid w:val="00B52B2C"/>
    <w:rsid w:val="00B534F7"/>
    <w:rsid w:val="00B5378C"/>
    <w:rsid w:val="00B53987"/>
    <w:rsid w:val="00B54742"/>
    <w:rsid w:val="00B55789"/>
    <w:rsid w:val="00B65A5E"/>
    <w:rsid w:val="00B702FF"/>
    <w:rsid w:val="00B71B81"/>
    <w:rsid w:val="00B747DF"/>
    <w:rsid w:val="00B7487D"/>
    <w:rsid w:val="00B74B98"/>
    <w:rsid w:val="00B7646F"/>
    <w:rsid w:val="00B77945"/>
    <w:rsid w:val="00B80AB5"/>
    <w:rsid w:val="00B81020"/>
    <w:rsid w:val="00B81A48"/>
    <w:rsid w:val="00B861D4"/>
    <w:rsid w:val="00B86449"/>
    <w:rsid w:val="00B86627"/>
    <w:rsid w:val="00B869D6"/>
    <w:rsid w:val="00B90C94"/>
    <w:rsid w:val="00B92758"/>
    <w:rsid w:val="00B92887"/>
    <w:rsid w:val="00B93405"/>
    <w:rsid w:val="00B938D1"/>
    <w:rsid w:val="00B94DEA"/>
    <w:rsid w:val="00B97D38"/>
    <w:rsid w:val="00BA2B17"/>
    <w:rsid w:val="00BA4B6B"/>
    <w:rsid w:val="00BA56A4"/>
    <w:rsid w:val="00BA6903"/>
    <w:rsid w:val="00BA7BFE"/>
    <w:rsid w:val="00BB2602"/>
    <w:rsid w:val="00BB2DC5"/>
    <w:rsid w:val="00BB3B48"/>
    <w:rsid w:val="00BB45F3"/>
    <w:rsid w:val="00BC0F03"/>
    <w:rsid w:val="00BC1A09"/>
    <w:rsid w:val="00BC4820"/>
    <w:rsid w:val="00BC4C28"/>
    <w:rsid w:val="00BC4D1B"/>
    <w:rsid w:val="00BC4ECC"/>
    <w:rsid w:val="00BC4F4B"/>
    <w:rsid w:val="00BC5696"/>
    <w:rsid w:val="00BC7894"/>
    <w:rsid w:val="00BD532A"/>
    <w:rsid w:val="00BD5E96"/>
    <w:rsid w:val="00BD6757"/>
    <w:rsid w:val="00BE0BE9"/>
    <w:rsid w:val="00BE1772"/>
    <w:rsid w:val="00BE17EB"/>
    <w:rsid w:val="00BE1F2F"/>
    <w:rsid w:val="00BE2DFF"/>
    <w:rsid w:val="00BE49D6"/>
    <w:rsid w:val="00BE52A7"/>
    <w:rsid w:val="00BE6233"/>
    <w:rsid w:val="00BE6D25"/>
    <w:rsid w:val="00BF0DA6"/>
    <w:rsid w:val="00BF1854"/>
    <w:rsid w:val="00BF1AA2"/>
    <w:rsid w:val="00BF2CBA"/>
    <w:rsid w:val="00BF3296"/>
    <w:rsid w:val="00BF3AE7"/>
    <w:rsid w:val="00BF3C82"/>
    <w:rsid w:val="00BF3CEE"/>
    <w:rsid w:val="00BF40C9"/>
    <w:rsid w:val="00BF6351"/>
    <w:rsid w:val="00C00CC9"/>
    <w:rsid w:val="00C00FC9"/>
    <w:rsid w:val="00C01482"/>
    <w:rsid w:val="00C025E9"/>
    <w:rsid w:val="00C02DDB"/>
    <w:rsid w:val="00C03BA3"/>
    <w:rsid w:val="00C03BC8"/>
    <w:rsid w:val="00C03F5C"/>
    <w:rsid w:val="00C13115"/>
    <w:rsid w:val="00C13405"/>
    <w:rsid w:val="00C149D4"/>
    <w:rsid w:val="00C14D13"/>
    <w:rsid w:val="00C1527C"/>
    <w:rsid w:val="00C15AD2"/>
    <w:rsid w:val="00C20049"/>
    <w:rsid w:val="00C202A9"/>
    <w:rsid w:val="00C2500E"/>
    <w:rsid w:val="00C254D9"/>
    <w:rsid w:val="00C26A87"/>
    <w:rsid w:val="00C312D4"/>
    <w:rsid w:val="00C32513"/>
    <w:rsid w:val="00C3378D"/>
    <w:rsid w:val="00C34345"/>
    <w:rsid w:val="00C37280"/>
    <w:rsid w:val="00C37666"/>
    <w:rsid w:val="00C4306E"/>
    <w:rsid w:val="00C43A92"/>
    <w:rsid w:val="00C442A9"/>
    <w:rsid w:val="00C44D2F"/>
    <w:rsid w:val="00C44FF7"/>
    <w:rsid w:val="00C46711"/>
    <w:rsid w:val="00C46A03"/>
    <w:rsid w:val="00C51512"/>
    <w:rsid w:val="00C52648"/>
    <w:rsid w:val="00C5346B"/>
    <w:rsid w:val="00C57760"/>
    <w:rsid w:val="00C605E6"/>
    <w:rsid w:val="00C62C1C"/>
    <w:rsid w:val="00C62FB8"/>
    <w:rsid w:val="00C64871"/>
    <w:rsid w:val="00C6689B"/>
    <w:rsid w:val="00C67320"/>
    <w:rsid w:val="00C67881"/>
    <w:rsid w:val="00C67EBC"/>
    <w:rsid w:val="00C71659"/>
    <w:rsid w:val="00C71DD9"/>
    <w:rsid w:val="00C722EC"/>
    <w:rsid w:val="00C72939"/>
    <w:rsid w:val="00C73B1C"/>
    <w:rsid w:val="00C747AD"/>
    <w:rsid w:val="00C8011C"/>
    <w:rsid w:val="00C80459"/>
    <w:rsid w:val="00C80DAC"/>
    <w:rsid w:val="00C81B9E"/>
    <w:rsid w:val="00C81C34"/>
    <w:rsid w:val="00C87A24"/>
    <w:rsid w:val="00C9198B"/>
    <w:rsid w:val="00C928E3"/>
    <w:rsid w:val="00C93D37"/>
    <w:rsid w:val="00C943DA"/>
    <w:rsid w:val="00C95326"/>
    <w:rsid w:val="00C96BA0"/>
    <w:rsid w:val="00C9748C"/>
    <w:rsid w:val="00CA2838"/>
    <w:rsid w:val="00CA67C4"/>
    <w:rsid w:val="00CA67E4"/>
    <w:rsid w:val="00CA70D3"/>
    <w:rsid w:val="00CA7248"/>
    <w:rsid w:val="00CB18DE"/>
    <w:rsid w:val="00CB2894"/>
    <w:rsid w:val="00CB2D08"/>
    <w:rsid w:val="00CB5AF3"/>
    <w:rsid w:val="00CB71D2"/>
    <w:rsid w:val="00CB730B"/>
    <w:rsid w:val="00CB78B8"/>
    <w:rsid w:val="00CB7FD6"/>
    <w:rsid w:val="00CC0228"/>
    <w:rsid w:val="00CC1CD1"/>
    <w:rsid w:val="00CC4380"/>
    <w:rsid w:val="00CC4951"/>
    <w:rsid w:val="00CC4F54"/>
    <w:rsid w:val="00CC555E"/>
    <w:rsid w:val="00CC5722"/>
    <w:rsid w:val="00CC5F51"/>
    <w:rsid w:val="00CC699F"/>
    <w:rsid w:val="00CC6E26"/>
    <w:rsid w:val="00CC7FE2"/>
    <w:rsid w:val="00CD3979"/>
    <w:rsid w:val="00CD47B3"/>
    <w:rsid w:val="00CD4C25"/>
    <w:rsid w:val="00CD4ED7"/>
    <w:rsid w:val="00CD6C38"/>
    <w:rsid w:val="00CD7A81"/>
    <w:rsid w:val="00CD7E27"/>
    <w:rsid w:val="00CE23DD"/>
    <w:rsid w:val="00CE2ACA"/>
    <w:rsid w:val="00CE37CD"/>
    <w:rsid w:val="00CF0C24"/>
    <w:rsid w:val="00CF17AC"/>
    <w:rsid w:val="00CF3FF2"/>
    <w:rsid w:val="00CF4998"/>
    <w:rsid w:val="00CF71B7"/>
    <w:rsid w:val="00CF75C6"/>
    <w:rsid w:val="00CF75E1"/>
    <w:rsid w:val="00D02F7D"/>
    <w:rsid w:val="00D03238"/>
    <w:rsid w:val="00D0503C"/>
    <w:rsid w:val="00D06D06"/>
    <w:rsid w:val="00D07664"/>
    <w:rsid w:val="00D100A6"/>
    <w:rsid w:val="00D111AA"/>
    <w:rsid w:val="00D12757"/>
    <w:rsid w:val="00D13DB6"/>
    <w:rsid w:val="00D14662"/>
    <w:rsid w:val="00D15F75"/>
    <w:rsid w:val="00D23DAB"/>
    <w:rsid w:val="00D242DE"/>
    <w:rsid w:val="00D24415"/>
    <w:rsid w:val="00D25309"/>
    <w:rsid w:val="00D31266"/>
    <w:rsid w:val="00D3567A"/>
    <w:rsid w:val="00D366BF"/>
    <w:rsid w:val="00D40323"/>
    <w:rsid w:val="00D41FEF"/>
    <w:rsid w:val="00D43176"/>
    <w:rsid w:val="00D44DDC"/>
    <w:rsid w:val="00D4537A"/>
    <w:rsid w:val="00D4578E"/>
    <w:rsid w:val="00D4596D"/>
    <w:rsid w:val="00D46340"/>
    <w:rsid w:val="00D47120"/>
    <w:rsid w:val="00D4727D"/>
    <w:rsid w:val="00D47569"/>
    <w:rsid w:val="00D506CD"/>
    <w:rsid w:val="00D536F9"/>
    <w:rsid w:val="00D548B5"/>
    <w:rsid w:val="00D563E2"/>
    <w:rsid w:val="00D57007"/>
    <w:rsid w:val="00D61AFF"/>
    <w:rsid w:val="00D62999"/>
    <w:rsid w:val="00D65568"/>
    <w:rsid w:val="00D70884"/>
    <w:rsid w:val="00D70EBB"/>
    <w:rsid w:val="00D724B6"/>
    <w:rsid w:val="00D72EC5"/>
    <w:rsid w:val="00D7327F"/>
    <w:rsid w:val="00D7337F"/>
    <w:rsid w:val="00D749E6"/>
    <w:rsid w:val="00D74D6A"/>
    <w:rsid w:val="00D76ED7"/>
    <w:rsid w:val="00D83215"/>
    <w:rsid w:val="00D87123"/>
    <w:rsid w:val="00D878A3"/>
    <w:rsid w:val="00D92901"/>
    <w:rsid w:val="00D92BD7"/>
    <w:rsid w:val="00D92FA9"/>
    <w:rsid w:val="00D96B82"/>
    <w:rsid w:val="00D9765F"/>
    <w:rsid w:val="00D97BFA"/>
    <w:rsid w:val="00DA11E4"/>
    <w:rsid w:val="00DA12F9"/>
    <w:rsid w:val="00DA362C"/>
    <w:rsid w:val="00DA4139"/>
    <w:rsid w:val="00DA54BF"/>
    <w:rsid w:val="00DA6544"/>
    <w:rsid w:val="00DB0127"/>
    <w:rsid w:val="00DB1159"/>
    <w:rsid w:val="00DB3714"/>
    <w:rsid w:val="00DB5248"/>
    <w:rsid w:val="00DB6051"/>
    <w:rsid w:val="00DB720F"/>
    <w:rsid w:val="00DB75A7"/>
    <w:rsid w:val="00DB7F5A"/>
    <w:rsid w:val="00DC0617"/>
    <w:rsid w:val="00DC1ACD"/>
    <w:rsid w:val="00DC3964"/>
    <w:rsid w:val="00DC3F57"/>
    <w:rsid w:val="00DC4F36"/>
    <w:rsid w:val="00DC57CA"/>
    <w:rsid w:val="00DC5DC4"/>
    <w:rsid w:val="00DC675B"/>
    <w:rsid w:val="00DC728C"/>
    <w:rsid w:val="00DD07AC"/>
    <w:rsid w:val="00DD182D"/>
    <w:rsid w:val="00DD2801"/>
    <w:rsid w:val="00DD3DC2"/>
    <w:rsid w:val="00DD4353"/>
    <w:rsid w:val="00DD45B9"/>
    <w:rsid w:val="00DD4F23"/>
    <w:rsid w:val="00DD682C"/>
    <w:rsid w:val="00DD7AB5"/>
    <w:rsid w:val="00DE1D51"/>
    <w:rsid w:val="00DE22D2"/>
    <w:rsid w:val="00DE5774"/>
    <w:rsid w:val="00DE5C23"/>
    <w:rsid w:val="00DF4066"/>
    <w:rsid w:val="00DF4A42"/>
    <w:rsid w:val="00DF5909"/>
    <w:rsid w:val="00DF5B07"/>
    <w:rsid w:val="00DF6BA2"/>
    <w:rsid w:val="00E0019A"/>
    <w:rsid w:val="00E009C9"/>
    <w:rsid w:val="00E00AF2"/>
    <w:rsid w:val="00E0143C"/>
    <w:rsid w:val="00E02931"/>
    <w:rsid w:val="00E053D9"/>
    <w:rsid w:val="00E05E16"/>
    <w:rsid w:val="00E06C79"/>
    <w:rsid w:val="00E07960"/>
    <w:rsid w:val="00E1112E"/>
    <w:rsid w:val="00E1458A"/>
    <w:rsid w:val="00E17F64"/>
    <w:rsid w:val="00E20652"/>
    <w:rsid w:val="00E2090F"/>
    <w:rsid w:val="00E24844"/>
    <w:rsid w:val="00E24E0A"/>
    <w:rsid w:val="00E26092"/>
    <w:rsid w:val="00E270CF"/>
    <w:rsid w:val="00E272F5"/>
    <w:rsid w:val="00E30232"/>
    <w:rsid w:val="00E31226"/>
    <w:rsid w:val="00E3235B"/>
    <w:rsid w:val="00E3270E"/>
    <w:rsid w:val="00E32847"/>
    <w:rsid w:val="00E331C8"/>
    <w:rsid w:val="00E35592"/>
    <w:rsid w:val="00E3595F"/>
    <w:rsid w:val="00E4151D"/>
    <w:rsid w:val="00E4162D"/>
    <w:rsid w:val="00E42D1B"/>
    <w:rsid w:val="00E43981"/>
    <w:rsid w:val="00E44A62"/>
    <w:rsid w:val="00E47042"/>
    <w:rsid w:val="00E47112"/>
    <w:rsid w:val="00E475FC"/>
    <w:rsid w:val="00E47EAB"/>
    <w:rsid w:val="00E5082A"/>
    <w:rsid w:val="00E50996"/>
    <w:rsid w:val="00E50B0B"/>
    <w:rsid w:val="00E51271"/>
    <w:rsid w:val="00E529B0"/>
    <w:rsid w:val="00E546D7"/>
    <w:rsid w:val="00E5497F"/>
    <w:rsid w:val="00E54B9E"/>
    <w:rsid w:val="00E54E9F"/>
    <w:rsid w:val="00E55D71"/>
    <w:rsid w:val="00E56BB3"/>
    <w:rsid w:val="00E630B3"/>
    <w:rsid w:val="00E65B30"/>
    <w:rsid w:val="00E7155C"/>
    <w:rsid w:val="00E71CDD"/>
    <w:rsid w:val="00E72C24"/>
    <w:rsid w:val="00E75F15"/>
    <w:rsid w:val="00E76B09"/>
    <w:rsid w:val="00E80D9D"/>
    <w:rsid w:val="00E830A7"/>
    <w:rsid w:val="00E83888"/>
    <w:rsid w:val="00E83F84"/>
    <w:rsid w:val="00E841F1"/>
    <w:rsid w:val="00E849C2"/>
    <w:rsid w:val="00E86AC9"/>
    <w:rsid w:val="00E871EB"/>
    <w:rsid w:val="00E90D07"/>
    <w:rsid w:val="00E9374F"/>
    <w:rsid w:val="00E93F1D"/>
    <w:rsid w:val="00E94D78"/>
    <w:rsid w:val="00E96689"/>
    <w:rsid w:val="00EA06D7"/>
    <w:rsid w:val="00EA143B"/>
    <w:rsid w:val="00EA3E8C"/>
    <w:rsid w:val="00EB1092"/>
    <w:rsid w:val="00EB1584"/>
    <w:rsid w:val="00EB3E03"/>
    <w:rsid w:val="00EB4161"/>
    <w:rsid w:val="00EB770C"/>
    <w:rsid w:val="00EC1FD5"/>
    <w:rsid w:val="00EC25E4"/>
    <w:rsid w:val="00EC3B3C"/>
    <w:rsid w:val="00EC5CD5"/>
    <w:rsid w:val="00EC78D9"/>
    <w:rsid w:val="00ED0400"/>
    <w:rsid w:val="00ED0DCD"/>
    <w:rsid w:val="00ED28AD"/>
    <w:rsid w:val="00ED31DB"/>
    <w:rsid w:val="00ED4F50"/>
    <w:rsid w:val="00ED6B34"/>
    <w:rsid w:val="00ED7D15"/>
    <w:rsid w:val="00EE0BEA"/>
    <w:rsid w:val="00EE194F"/>
    <w:rsid w:val="00EE2144"/>
    <w:rsid w:val="00EE29C6"/>
    <w:rsid w:val="00EE447B"/>
    <w:rsid w:val="00EE4A31"/>
    <w:rsid w:val="00EE7622"/>
    <w:rsid w:val="00EE77A0"/>
    <w:rsid w:val="00EF051E"/>
    <w:rsid w:val="00EF12B9"/>
    <w:rsid w:val="00EF2E81"/>
    <w:rsid w:val="00EF2E9C"/>
    <w:rsid w:val="00EF3696"/>
    <w:rsid w:val="00EF4826"/>
    <w:rsid w:val="00EF63A0"/>
    <w:rsid w:val="00EF6D26"/>
    <w:rsid w:val="00EF73D8"/>
    <w:rsid w:val="00F01144"/>
    <w:rsid w:val="00F0114E"/>
    <w:rsid w:val="00F0295E"/>
    <w:rsid w:val="00F03B4A"/>
    <w:rsid w:val="00F058B0"/>
    <w:rsid w:val="00F106C5"/>
    <w:rsid w:val="00F113E6"/>
    <w:rsid w:val="00F20381"/>
    <w:rsid w:val="00F2225B"/>
    <w:rsid w:val="00F2355E"/>
    <w:rsid w:val="00F251DE"/>
    <w:rsid w:val="00F2570D"/>
    <w:rsid w:val="00F31C27"/>
    <w:rsid w:val="00F32209"/>
    <w:rsid w:val="00F33094"/>
    <w:rsid w:val="00F349FB"/>
    <w:rsid w:val="00F34C4D"/>
    <w:rsid w:val="00F35609"/>
    <w:rsid w:val="00F36CE4"/>
    <w:rsid w:val="00F36D2B"/>
    <w:rsid w:val="00F4131B"/>
    <w:rsid w:val="00F41A25"/>
    <w:rsid w:val="00F42AFF"/>
    <w:rsid w:val="00F4483F"/>
    <w:rsid w:val="00F45C28"/>
    <w:rsid w:val="00F47680"/>
    <w:rsid w:val="00F549EE"/>
    <w:rsid w:val="00F5536F"/>
    <w:rsid w:val="00F553A8"/>
    <w:rsid w:val="00F55770"/>
    <w:rsid w:val="00F55F22"/>
    <w:rsid w:val="00F62B86"/>
    <w:rsid w:val="00F62C50"/>
    <w:rsid w:val="00F64933"/>
    <w:rsid w:val="00F64B04"/>
    <w:rsid w:val="00F7385A"/>
    <w:rsid w:val="00F7493B"/>
    <w:rsid w:val="00F76909"/>
    <w:rsid w:val="00F8004E"/>
    <w:rsid w:val="00F812AA"/>
    <w:rsid w:val="00F82CAA"/>
    <w:rsid w:val="00F835C3"/>
    <w:rsid w:val="00F84F94"/>
    <w:rsid w:val="00F924C8"/>
    <w:rsid w:val="00F9279C"/>
    <w:rsid w:val="00F93F3D"/>
    <w:rsid w:val="00F94B78"/>
    <w:rsid w:val="00F96504"/>
    <w:rsid w:val="00F9685C"/>
    <w:rsid w:val="00F96952"/>
    <w:rsid w:val="00F96C6C"/>
    <w:rsid w:val="00FA2AB8"/>
    <w:rsid w:val="00FA4283"/>
    <w:rsid w:val="00FA7199"/>
    <w:rsid w:val="00FA7CCF"/>
    <w:rsid w:val="00FB1C03"/>
    <w:rsid w:val="00FB3EED"/>
    <w:rsid w:val="00FB493F"/>
    <w:rsid w:val="00FB5A5E"/>
    <w:rsid w:val="00FB6BD7"/>
    <w:rsid w:val="00FB6DFB"/>
    <w:rsid w:val="00FC06E8"/>
    <w:rsid w:val="00FC20EB"/>
    <w:rsid w:val="00FC4452"/>
    <w:rsid w:val="00FC749D"/>
    <w:rsid w:val="00FD13E5"/>
    <w:rsid w:val="00FD555D"/>
    <w:rsid w:val="00FD7127"/>
    <w:rsid w:val="00FE05DF"/>
    <w:rsid w:val="00FE19AD"/>
    <w:rsid w:val="00FE34D4"/>
    <w:rsid w:val="00FE65B4"/>
    <w:rsid w:val="00FE675D"/>
    <w:rsid w:val="00FF01DE"/>
    <w:rsid w:val="00FF07C9"/>
    <w:rsid w:val="00FF1F9F"/>
    <w:rsid w:val="00FF630D"/>
    <w:rsid w:val="00FF6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913208D"/>
  <w14:defaultImageDpi w14:val="300"/>
  <w15:docId w15:val="{F3B30999-A573-074F-A6E8-CA04C3539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3" w:uiPriority="43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qFormat/>
    <w:rsid w:val="00D97BFA"/>
    <w:pPr>
      <w:spacing w:after="120" w:line="276" w:lineRule="auto"/>
      <w:jc w:val="both"/>
    </w:pPr>
    <w:rPr>
      <w:rFonts w:ascii="Sylfaen" w:eastAsia="Sylfaen" w:hAnsi="Sylfaen" w:cstheme="minorHAnsi"/>
      <w:sz w:val="20"/>
      <w:szCs w:val="20"/>
      <w:lang w:val="ka-G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0C94"/>
    <w:pPr>
      <w:keepNext/>
      <w:keepLines/>
      <w:shd w:val="clear" w:color="auto" w:fill="E0E6E6"/>
      <w:spacing w:before="240" w:after="240" w:line="360" w:lineRule="auto"/>
      <w:outlineLvl w:val="0"/>
    </w:pPr>
    <w:rPr>
      <w:rFonts w:eastAsiaTheme="majorEastAsia" w:cs="ALK Tall Nusxuri"/>
      <w:b/>
      <w:bCs/>
      <w:caps/>
      <w:color w:val="1F497D" w:themeColor="text2"/>
      <w:sz w:val="2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3B4A"/>
    <w:pPr>
      <w:keepNext/>
      <w:keepLines/>
      <w:spacing w:before="200"/>
      <w:ind w:left="426"/>
      <w:outlineLvl w:val="1"/>
    </w:pPr>
    <w:rPr>
      <w:rFonts w:eastAsiaTheme="majorEastAsia" w:cstheme="majorBidi"/>
      <w:b/>
      <w:bCs/>
      <w:color w:val="1F497D" w:themeColor="text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2570D"/>
    <w:pPr>
      <w:keepNext/>
      <w:keepLines/>
      <w:spacing w:before="200"/>
      <w:outlineLvl w:val="2"/>
    </w:pPr>
    <w:rPr>
      <w:rFonts w:eastAsiaTheme="majorEastAsia" w:cs="ALK Tall Nusxuri"/>
      <w:b/>
      <w:bCs/>
      <w:color w:val="8064A2" w:themeColor="accent4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45F3"/>
    <w:pPr>
      <w:keepNext/>
      <w:keepLines/>
      <w:spacing w:before="40" w:after="0"/>
      <w:outlineLvl w:val="3"/>
    </w:pPr>
    <w:rPr>
      <w:rFonts w:asciiTheme="minorHAnsi" w:eastAsia="Times New Roman" w:hAnsiTheme="minorHAnsi" w:cs="Times New Roman"/>
      <w:i/>
      <w:iCs/>
      <w:color w:val="2F5496"/>
      <w:sz w:val="24"/>
      <w:szCs w:val="24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45F3"/>
    <w:pPr>
      <w:keepNext/>
      <w:keepLines/>
      <w:spacing w:before="40" w:after="0"/>
      <w:outlineLvl w:val="4"/>
    </w:pPr>
    <w:rPr>
      <w:rFonts w:asciiTheme="minorHAnsi" w:eastAsia="Times New Roman" w:hAnsiTheme="minorHAnsi" w:cs="Times New Roman"/>
      <w:color w:val="2F5496"/>
      <w:sz w:val="24"/>
      <w:szCs w:val="24"/>
      <w:lang w:val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45F3"/>
    <w:pPr>
      <w:keepNext/>
      <w:keepLines/>
      <w:spacing w:before="40" w:after="0"/>
      <w:outlineLvl w:val="5"/>
    </w:pPr>
    <w:rPr>
      <w:rFonts w:asciiTheme="minorHAnsi" w:eastAsia="Times New Roman" w:hAnsiTheme="minorHAnsi" w:cs="Times New Roman"/>
      <w:i/>
      <w:iCs/>
      <w:color w:val="595959"/>
      <w:sz w:val="24"/>
      <w:szCs w:val="24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45F3"/>
    <w:pPr>
      <w:keepNext/>
      <w:keepLines/>
      <w:spacing w:before="40" w:after="0"/>
      <w:outlineLvl w:val="6"/>
    </w:pPr>
    <w:rPr>
      <w:rFonts w:asciiTheme="minorHAnsi" w:eastAsia="Times New Roman" w:hAnsiTheme="minorHAnsi" w:cs="Times New Roman"/>
      <w:color w:val="595959"/>
      <w:sz w:val="24"/>
      <w:szCs w:val="24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45F3"/>
    <w:pPr>
      <w:keepNext/>
      <w:keepLines/>
      <w:spacing w:before="40" w:after="0"/>
      <w:outlineLvl w:val="7"/>
    </w:pPr>
    <w:rPr>
      <w:rFonts w:asciiTheme="minorHAnsi" w:eastAsia="Times New Roman" w:hAnsiTheme="minorHAnsi" w:cs="Times New Roman"/>
      <w:i/>
      <w:iCs/>
      <w:color w:val="272727"/>
      <w:sz w:val="24"/>
      <w:szCs w:val="24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45F3"/>
    <w:pPr>
      <w:keepNext/>
      <w:keepLines/>
      <w:spacing w:before="40" w:after="0"/>
      <w:outlineLvl w:val="8"/>
    </w:pPr>
    <w:rPr>
      <w:rFonts w:asciiTheme="minorHAnsi" w:eastAsia="Times New Roman" w:hAnsiTheme="minorHAnsi" w:cs="Times New Roman"/>
      <w:color w:val="272727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0C94"/>
    <w:rPr>
      <w:rFonts w:ascii="Sylfaen" w:eastAsiaTheme="majorEastAsia" w:hAnsi="Sylfaen" w:cs="ALK Tall Nusxuri"/>
      <w:b/>
      <w:bCs/>
      <w:caps/>
      <w:color w:val="1F497D" w:themeColor="text2"/>
      <w:sz w:val="22"/>
      <w:szCs w:val="28"/>
      <w:shd w:val="clear" w:color="auto" w:fill="E0E6E6"/>
      <w:lang w:val="ka-GE"/>
    </w:rPr>
  </w:style>
  <w:style w:type="paragraph" w:customStyle="1" w:styleId="Default">
    <w:name w:val="Default"/>
    <w:rsid w:val="002D1FEB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ListParagraph">
    <w:name w:val="List Paragraph"/>
    <w:aliases w:val="Prgrf_UNDP,MCHIP_list paragraph,List Paragraph1,Recommendation,Normal 1,List Paragraph 1,Akapit z listą BS"/>
    <w:basedOn w:val="Normal"/>
    <w:link w:val="ListParagraphChar"/>
    <w:uiPriority w:val="34"/>
    <w:qFormat/>
    <w:rsid w:val="002D1FEB"/>
    <w:pPr>
      <w:ind w:left="720"/>
      <w:contextualSpacing/>
    </w:pPr>
  </w:style>
  <w:style w:type="paragraph" w:styleId="FootnoteText">
    <w:name w:val="footnote text"/>
    <w:aliases w:val="fn,Footnote ak,fn Char,footnote text Char,Footnotes Char,Footnote ak Char,ft,fn cafc,Footnotes Char Char,Footnote Text Char Char,fn Char Char,footnote text Char Char Char Ch,single space,footnote text"/>
    <w:basedOn w:val="Normal"/>
    <w:link w:val="FootnoteTextChar"/>
    <w:uiPriority w:val="99"/>
    <w:unhideWhenUsed/>
    <w:rsid w:val="00BE1772"/>
  </w:style>
  <w:style w:type="character" w:customStyle="1" w:styleId="FootnoteTextChar">
    <w:name w:val="Footnote Text Char"/>
    <w:aliases w:val="fn Char1,Footnote ak Char1,fn Char Char1,footnote text Char Char,Footnotes Char Char1,Footnote ak Char Char,ft Char,fn cafc Char,Footnotes Char Char Char,Footnote Text Char Char Char,fn Char Char Char,single space Char"/>
    <w:basedOn w:val="DefaultParagraphFont"/>
    <w:link w:val="FootnoteText"/>
    <w:uiPriority w:val="99"/>
    <w:rsid w:val="00BE1772"/>
  </w:style>
  <w:style w:type="character" w:styleId="FootnoteReference">
    <w:name w:val="footnote reference"/>
    <w:aliases w:val="ftref,BVI fnr,16 Point,Superscript 6 Point,Fußnotenzeichen DISS,fr,(NECG) Footnote Reference,footnote ref,Char Char Char Char Car Char, BVI fnr,Footnote Reference Number,Footnote Reference_LVL6,Footnote Reference_LVL61"/>
    <w:basedOn w:val="DefaultParagraphFont"/>
    <w:link w:val="BVIfnrCharCharCharChar"/>
    <w:uiPriority w:val="99"/>
    <w:unhideWhenUsed/>
    <w:rsid w:val="00BE177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4DE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DEA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B1531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0B1531"/>
  </w:style>
  <w:style w:type="character" w:customStyle="1" w:styleId="CommentTextChar">
    <w:name w:val="Comment Text Char"/>
    <w:basedOn w:val="DefaultParagraphFont"/>
    <w:link w:val="CommentText"/>
    <w:uiPriority w:val="99"/>
    <w:rsid w:val="000B1531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1531"/>
    <w:rPr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1531"/>
    <w:rPr>
      <w:b/>
      <w:bCs/>
    </w:rPr>
  </w:style>
  <w:style w:type="table" w:styleId="LightShading-Accent1">
    <w:name w:val="Light Shading Accent 1"/>
    <w:basedOn w:val="TableNormal"/>
    <w:uiPriority w:val="60"/>
    <w:rsid w:val="000B1531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Caption">
    <w:name w:val="caption"/>
    <w:basedOn w:val="Normal"/>
    <w:next w:val="Normal"/>
    <w:autoRedefine/>
    <w:uiPriority w:val="35"/>
    <w:unhideWhenUsed/>
    <w:qFormat/>
    <w:rsid w:val="00180A14"/>
    <w:pPr>
      <w:spacing w:before="120" w:after="240"/>
      <w:jc w:val="left"/>
    </w:pPr>
    <w:rPr>
      <w:rFonts w:eastAsia="Helvetica" w:cs="Helvetica"/>
      <w:b/>
      <w:bCs/>
      <w:color w:val="1F497D" w:themeColor="text2"/>
      <w:sz w:val="22"/>
    </w:rPr>
  </w:style>
  <w:style w:type="paragraph" w:styleId="Header">
    <w:name w:val="header"/>
    <w:basedOn w:val="Normal"/>
    <w:link w:val="HeaderChar"/>
    <w:uiPriority w:val="99"/>
    <w:unhideWhenUsed/>
    <w:rsid w:val="000B153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1531"/>
  </w:style>
  <w:style w:type="paragraph" w:styleId="Footer">
    <w:name w:val="footer"/>
    <w:basedOn w:val="Normal"/>
    <w:link w:val="FooterChar"/>
    <w:uiPriority w:val="99"/>
    <w:unhideWhenUsed/>
    <w:rsid w:val="000B153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1531"/>
  </w:style>
  <w:style w:type="character" w:styleId="Hyperlink">
    <w:name w:val="Hyperlink"/>
    <w:basedOn w:val="DefaultParagraphFont"/>
    <w:uiPriority w:val="99"/>
    <w:unhideWhenUsed/>
    <w:rsid w:val="000B1531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7351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727EC4"/>
  </w:style>
  <w:style w:type="character" w:customStyle="1" w:styleId="Heading2Char">
    <w:name w:val="Heading 2 Char"/>
    <w:basedOn w:val="DefaultParagraphFont"/>
    <w:link w:val="Heading2"/>
    <w:uiPriority w:val="9"/>
    <w:rsid w:val="00F03B4A"/>
    <w:rPr>
      <w:rFonts w:ascii="Sylfaen" w:eastAsiaTheme="majorEastAsia" w:hAnsi="Sylfaen" w:cstheme="majorBidi"/>
      <w:b/>
      <w:bCs/>
      <w:color w:val="1F497D" w:themeColor="text2"/>
      <w:szCs w:val="26"/>
      <w:lang w:val="ka-GE"/>
    </w:rPr>
  </w:style>
  <w:style w:type="character" w:customStyle="1" w:styleId="Heading3Char">
    <w:name w:val="Heading 3 Char"/>
    <w:basedOn w:val="DefaultParagraphFont"/>
    <w:link w:val="Heading3"/>
    <w:uiPriority w:val="9"/>
    <w:rsid w:val="00F2570D"/>
    <w:rPr>
      <w:rFonts w:ascii="Sylfaen" w:eastAsiaTheme="majorEastAsia" w:hAnsi="Sylfaen" w:cs="ALK Tall Nusxuri"/>
      <w:b/>
      <w:bCs/>
      <w:color w:val="8064A2" w:themeColor="accent4"/>
      <w:szCs w:val="22"/>
      <w:lang w:val="ka-GE"/>
    </w:rPr>
  </w:style>
  <w:style w:type="paragraph" w:styleId="NoSpacing">
    <w:name w:val="No Spacing"/>
    <w:link w:val="NoSpacingChar"/>
    <w:uiPriority w:val="1"/>
    <w:qFormat/>
    <w:rsid w:val="00AA21D9"/>
    <w:rPr>
      <w:sz w:val="22"/>
    </w:rPr>
  </w:style>
  <w:style w:type="table" w:styleId="LightList-Accent1">
    <w:name w:val="Light List Accent 1"/>
    <w:basedOn w:val="TableNormal"/>
    <w:uiPriority w:val="61"/>
    <w:rsid w:val="00AA21D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stTable1Light-Accent11">
    <w:name w:val="List Table 1 Light - Accent 11"/>
    <w:basedOn w:val="TableNormal"/>
    <w:uiPriority w:val="46"/>
    <w:rsid w:val="00EC1FD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6C7D61"/>
    <w:rPr>
      <w:color w:val="605E5C"/>
      <w:shd w:val="clear" w:color="auto" w:fill="E1DFDD"/>
    </w:rPr>
  </w:style>
  <w:style w:type="table" w:styleId="PlainTable3">
    <w:name w:val="Plain Table 3"/>
    <w:basedOn w:val="TableNormal"/>
    <w:uiPriority w:val="43"/>
    <w:rsid w:val="001C0773"/>
    <w:rPr>
      <w:rFonts w:eastAsiaTheme="minorHAnsi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BVIfnrCharCharCharChar">
    <w:name w:val="BVI fnr Char Char Char Char"/>
    <w:aliases w:val="BVI fnr Car Car Char Char Char Char,BVI fnr Car Char Char Char Char,BVI fnr Car Car Car Car Char Char Char1 Char"/>
    <w:basedOn w:val="Normal"/>
    <w:link w:val="FootnoteReference"/>
    <w:uiPriority w:val="99"/>
    <w:rsid w:val="001C0773"/>
    <w:pPr>
      <w:spacing w:after="80" w:line="240" w:lineRule="exact"/>
    </w:pPr>
    <w:rPr>
      <w:vertAlign w:val="superscript"/>
    </w:rPr>
  </w:style>
  <w:style w:type="paragraph" w:styleId="Revision">
    <w:name w:val="Revision"/>
    <w:hidden/>
    <w:uiPriority w:val="99"/>
    <w:semiHidden/>
    <w:rsid w:val="00B92887"/>
  </w:style>
  <w:style w:type="character" w:styleId="FollowedHyperlink">
    <w:name w:val="FollowedHyperlink"/>
    <w:basedOn w:val="DefaultParagraphFont"/>
    <w:uiPriority w:val="99"/>
    <w:semiHidden/>
    <w:unhideWhenUsed/>
    <w:rsid w:val="00603A88"/>
    <w:rPr>
      <w:color w:val="800080" w:themeColor="followedHyperlink"/>
      <w:u w:val="single"/>
    </w:rPr>
  </w:style>
  <w:style w:type="character" w:customStyle="1" w:styleId="ListParagraphChar">
    <w:name w:val="List Paragraph Char"/>
    <w:aliases w:val="Prgrf_UNDP Char,MCHIP_list paragraph Char,List Paragraph1 Char,Recommendation Char,Normal 1 Char,List Paragraph 1 Char,Akapit z listą BS Char"/>
    <w:link w:val="ListParagraph"/>
    <w:uiPriority w:val="34"/>
    <w:locked/>
    <w:rsid w:val="007769D3"/>
  </w:style>
  <w:style w:type="table" w:styleId="PlainTable2">
    <w:name w:val="Plain Table 2"/>
    <w:basedOn w:val="TableNormal"/>
    <w:uiPriority w:val="99"/>
    <w:rsid w:val="003740C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4">
    <w:name w:val="Plain Table 4"/>
    <w:basedOn w:val="TableNormal"/>
    <w:uiPriority w:val="99"/>
    <w:rsid w:val="003740C9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99"/>
    <w:rsid w:val="003740C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GridLight">
    <w:name w:val="Grid Table Light"/>
    <w:basedOn w:val="TableNormal"/>
    <w:uiPriority w:val="99"/>
    <w:rsid w:val="003740C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1Light-Accent1">
    <w:name w:val="Grid Table 1 Light Accent 1"/>
    <w:basedOn w:val="TableNormal"/>
    <w:uiPriority w:val="46"/>
    <w:rsid w:val="003740C9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3740C9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5">
    <w:name w:val="Grid Table 2 Accent 5"/>
    <w:basedOn w:val="TableNormal"/>
    <w:uiPriority w:val="47"/>
    <w:rsid w:val="003740C9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2-Accent1">
    <w:name w:val="Grid Table 2 Accent 1"/>
    <w:basedOn w:val="TableNormal"/>
    <w:uiPriority w:val="47"/>
    <w:rsid w:val="003740C9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1Light-Accent5">
    <w:name w:val="Grid Table 1 Light Accent 5"/>
    <w:basedOn w:val="TableNormal"/>
    <w:uiPriority w:val="46"/>
    <w:rsid w:val="003740C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5Dark-Accent5">
    <w:name w:val="Grid Table 5 Dark Accent 5"/>
    <w:basedOn w:val="TableNormal"/>
    <w:uiPriority w:val="50"/>
    <w:rsid w:val="003740C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GridTable7Colorful-Accent1">
    <w:name w:val="Grid Table 7 Colorful Accent 1"/>
    <w:basedOn w:val="TableNormal"/>
    <w:uiPriority w:val="52"/>
    <w:rsid w:val="003740C9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6Colorful-Accent5">
    <w:name w:val="Grid Table 6 Colorful Accent 5"/>
    <w:basedOn w:val="TableNormal"/>
    <w:uiPriority w:val="51"/>
    <w:rsid w:val="003740C9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3740C9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6Colorful">
    <w:name w:val="Grid Table 6 Colorful"/>
    <w:basedOn w:val="TableNormal"/>
    <w:uiPriority w:val="51"/>
    <w:rsid w:val="003740C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5">
    <w:name w:val="List Table 2 Accent 5"/>
    <w:basedOn w:val="TableNormal"/>
    <w:uiPriority w:val="47"/>
    <w:rsid w:val="003740C9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4-Accent5">
    <w:name w:val="List Table 4 Accent 5"/>
    <w:basedOn w:val="TableNormal"/>
    <w:uiPriority w:val="49"/>
    <w:rsid w:val="003740C9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5Dark-Accent1">
    <w:name w:val="List Table 5 Dark Accent 1"/>
    <w:basedOn w:val="TableNormal"/>
    <w:uiPriority w:val="50"/>
    <w:rsid w:val="003740C9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3740C9"/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3740C9"/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3740C9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3740C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3740C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3740C9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ListTable1Light-Accent1">
    <w:name w:val="List Table 1 Light Accent 1"/>
    <w:basedOn w:val="TableNormal"/>
    <w:uiPriority w:val="46"/>
    <w:rsid w:val="003740C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1Light">
    <w:name w:val="Grid Table 1 Light"/>
    <w:basedOn w:val="TableNormal"/>
    <w:uiPriority w:val="99"/>
    <w:rsid w:val="003740C9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7Colorful-Accent6">
    <w:name w:val="Grid Table 7 Colorful Accent 6"/>
    <w:basedOn w:val="TableNormal"/>
    <w:uiPriority w:val="52"/>
    <w:rsid w:val="003740C9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3740C9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3740C9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5Dark-Accent1">
    <w:name w:val="Grid Table 5 Dark Accent 1"/>
    <w:basedOn w:val="TableNormal"/>
    <w:uiPriority w:val="50"/>
    <w:rsid w:val="003740C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ridTable4-Accent5">
    <w:name w:val="Grid Table 4 Accent 5"/>
    <w:basedOn w:val="TableNormal"/>
    <w:uiPriority w:val="49"/>
    <w:rsid w:val="003740C9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3-Accent5">
    <w:name w:val="Grid Table 3 Accent 5"/>
    <w:basedOn w:val="TableNormal"/>
    <w:uiPriority w:val="48"/>
    <w:rsid w:val="001C778B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891443"/>
    <w:pPr>
      <w:spacing w:after="0" w:line="240" w:lineRule="auto"/>
      <w:contextualSpacing/>
      <w:jc w:val="left"/>
    </w:pPr>
    <w:rPr>
      <w:rFonts w:asciiTheme="majorHAnsi" w:eastAsiaTheme="majorEastAsia" w:hAnsiTheme="majorHAnsi" w:cstheme="majorBidi"/>
      <w:b/>
      <w:color w:val="365F91" w:themeColor="accent1" w:themeShade="BF"/>
      <w:spacing w:val="-10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1443"/>
    <w:rPr>
      <w:rFonts w:asciiTheme="majorHAnsi" w:eastAsiaTheme="majorEastAsia" w:hAnsiTheme="majorHAnsi" w:cstheme="majorBidi"/>
      <w:b/>
      <w:color w:val="365F91" w:themeColor="accent1" w:themeShade="BF"/>
      <w:spacing w:val="-10"/>
      <w:kern w:val="28"/>
      <w:sz w:val="44"/>
      <w:szCs w:val="56"/>
    </w:rPr>
  </w:style>
  <w:style w:type="table" w:styleId="ListTable6Colorful-Accent5">
    <w:name w:val="List Table 6 Colorful Accent 5"/>
    <w:basedOn w:val="TableNormal"/>
    <w:uiPriority w:val="51"/>
    <w:rsid w:val="003B4A46"/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Heading41">
    <w:name w:val="Heading 41"/>
    <w:basedOn w:val="Normal"/>
    <w:next w:val="Normal"/>
    <w:uiPriority w:val="9"/>
    <w:semiHidden/>
    <w:unhideWhenUsed/>
    <w:qFormat/>
    <w:rsid w:val="00BB45F3"/>
    <w:pPr>
      <w:keepNext/>
      <w:keepLines/>
      <w:spacing w:before="80" w:after="40" w:line="240" w:lineRule="auto"/>
      <w:jc w:val="left"/>
      <w:outlineLvl w:val="3"/>
    </w:pPr>
    <w:rPr>
      <w:rFonts w:ascii="Times New Roman" w:eastAsia="Times New Roman" w:hAnsi="Times New Roman" w:cs="Times New Roman"/>
      <w:i/>
      <w:iCs/>
      <w:color w:val="2F5496"/>
      <w:sz w:val="24"/>
      <w:szCs w:val="24"/>
      <w:lang w:val="en-US" w:eastAsia="en-GB"/>
    </w:rPr>
  </w:style>
  <w:style w:type="paragraph" w:customStyle="1" w:styleId="Heading51">
    <w:name w:val="Heading 51"/>
    <w:basedOn w:val="Normal"/>
    <w:next w:val="Normal"/>
    <w:uiPriority w:val="9"/>
    <w:semiHidden/>
    <w:unhideWhenUsed/>
    <w:qFormat/>
    <w:rsid w:val="00BB45F3"/>
    <w:pPr>
      <w:keepNext/>
      <w:keepLines/>
      <w:spacing w:before="80" w:after="40" w:line="240" w:lineRule="auto"/>
      <w:jc w:val="left"/>
      <w:outlineLvl w:val="4"/>
    </w:pPr>
    <w:rPr>
      <w:rFonts w:ascii="Times New Roman" w:eastAsia="Times New Roman" w:hAnsi="Times New Roman" w:cs="Times New Roman"/>
      <w:color w:val="2F5496"/>
      <w:sz w:val="24"/>
      <w:szCs w:val="24"/>
      <w:lang w:val="en-US" w:eastAsia="en-GB"/>
    </w:rPr>
  </w:style>
  <w:style w:type="paragraph" w:customStyle="1" w:styleId="Heading61">
    <w:name w:val="Heading 61"/>
    <w:basedOn w:val="Normal"/>
    <w:next w:val="Normal"/>
    <w:uiPriority w:val="9"/>
    <w:semiHidden/>
    <w:unhideWhenUsed/>
    <w:qFormat/>
    <w:rsid w:val="00BB45F3"/>
    <w:pPr>
      <w:keepNext/>
      <w:keepLines/>
      <w:spacing w:before="40" w:after="0" w:line="240" w:lineRule="auto"/>
      <w:jc w:val="left"/>
      <w:outlineLvl w:val="5"/>
    </w:pPr>
    <w:rPr>
      <w:rFonts w:ascii="Times New Roman" w:eastAsia="Times New Roman" w:hAnsi="Times New Roman" w:cs="Times New Roman"/>
      <w:i/>
      <w:iCs/>
      <w:color w:val="595959"/>
      <w:sz w:val="24"/>
      <w:szCs w:val="24"/>
      <w:lang w:val="en-US" w:eastAsia="en-GB"/>
    </w:rPr>
  </w:style>
  <w:style w:type="paragraph" w:customStyle="1" w:styleId="Heading71">
    <w:name w:val="Heading 71"/>
    <w:basedOn w:val="Normal"/>
    <w:next w:val="Normal"/>
    <w:uiPriority w:val="9"/>
    <w:semiHidden/>
    <w:unhideWhenUsed/>
    <w:qFormat/>
    <w:rsid w:val="00BB45F3"/>
    <w:pPr>
      <w:keepNext/>
      <w:keepLines/>
      <w:spacing w:before="40" w:after="0" w:line="240" w:lineRule="auto"/>
      <w:jc w:val="left"/>
      <w:outlineLvl w:val="6"/>
    </w:pPr>
    <w:rPr>
      <w:rFonts w:ascii="Times New Roman" w:eastAsia="Times New Roman" w:hAnsi="Times New Roman" w:cs="Times New Roman"/>
      <w:color w:val="595959"/>
      <w:sz w:val="24"/>
      <w:szCs w:val="24"/>
      <w:lang w:val="en-US" w:eastAsia="en-GB"/>
    </w:rPr>
  </w:style>
  <w:style w:type="paragraph" w:customStyle="1" w:styleId="Heading81">
    <w:name w:val="Heading 81"/>
    <w:basedOn w:val="Normal"/>
    <w:next w:val="Normal"/>
    <w:uiPriority w:val="9"/>
    <w:semiHidden/>
    <w:unhideWhenUsed/>
    <w:qFormat/>
    <w:rsid w:val="00BB45F3"/>
    <w:pPr>
      <w:keepNext/>
      <w:keepLines/>
      <w:spacing w:after="0" w:line="240" w:lineRule="auto"/>
      <w:jc w:val="left"/>
      <w:outlineLvl w:val="7"/>
    </w:pPr>
    <w:rPr>
      <w:rFonts w:ascii="Times New Roman" w:eastAsia="Times New Roman" w:hAnsi="Times New Roman" w:cs="Times New Roman"/>
      <w:i/>
      <w:iCs/>
      <w:color w:val="272727"/>
      <w:sz w:val="24"/>
      <w:szCs w:val="24"/>
      <w:lang w:val="en-US" w:eastAsia="en-GB"/>
    </w:rPr>
  </w:style>
  <w:style w:type="paragraph" w:customStyle="1" w:styleId="Heading91">
    <w:name w:val="Heading 91"/>
    <w:basedOn w:val="Normal"/>
    <w:next w:val="Normal"/>
    <w:uiPriority w:val="9"/>
    <w:semiHidden/>
    <w:unhideWhenUsed/>
    <w:qFormat/>
    <w:rsid w:val="00BB45F3"/>
    <w:pPr>
      <w:keepNext/>
      <w:keepLines/>
      <w:spacing w:after="0" w:line="240" w:lineRule="auto"/>
      <w:jc w:val="left"/>
      <w:outlineLvl w:val="8"/>
    </w:pPr>
    <w:rPr>
      <w:rFonts w:ascii="Times New Roman" w:eastAsia="Times New Roman" w:hAnsi="Times New Roman" w:cs="Times New Roman"/>
      <w:color w:val="272727"/>
      <w:sz w:val="24"/>
      <w:szCs w:val="24"/>
      <w:lang w:val="en-US" w:eastAsia="en-GB"/>
    </w:rPr>
  </w:style>
  <w:style w:type="numbering" w:customStyle="1" w:styleId="NoList1">
    <w:name w:val="No List1"/>
    <w:next w:val="NoList"/>
    <w:uiPriority w:val="99"/>
    <w:semiHidden/>
    <w:unhideWhenUsed/>
    <w:rsid w:val="00BB45F3"/>
  </w:style>
  <w:style w:type="character" w:customStyle="1" w:styleId="Heading4Char">
    <w:name w:val="Heading 4 Char"/>
    <w:basedOn w:val="DefaultParagraphFont"/>
    <w:link w:val="Heading4"/>
    <w:uiPriority w:val="9"/>
    <w:semiHidden/>
    <w:rsid w:val="00BB45F3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45F3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45F3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45F3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45F3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45F3"/>
    <w:rPr>
      <w:rFonts w:eastAsia="Times New Roman" w:cs="Times New Roman"/>
      <w:color w:val="272727"/>
    </w:rPr>
  </w:style>
  <w:style w:type="paragraph" w:customStyle="1" w:styleId="Subtitle1">
    <w:name w:val="Subtitle1"/>
    <w:basedOn w:val="Normal"/>
    <w:next w:val="Normal"/>
    <w:uiPriority w:val="11"/>
    <w:qFormat/>
    <w:rsid w:val="00BB45F3"/>
    <w:pPr>
      <w:numPr>
        <w:ilvl w:val="1"/>
      </w:numPr>
      <w:spacing w:after="160" w:line="240" w:lineRule="auto"/>
      <w:jc w:val="left"/>
    </w:pPr>
    <w:rPr>
      <w:rFonts w:ascii="Times New Roman" w:eastAsia="Times New Roman" w:hAnsi="Times New Roman" w:cs="Times New Roman"/>
      <w:color w:val="595959"/>
      <w:spacing w:val="15"/>
      <w:sz w:val="28"/>
      <w:szCs w:val="28"/>
      <w:lang w:val="en-US" w:eastAsia="en-GB"/>
    </w:rPr>
  </w:style>
  <w:style w:type="character" w:customStyle="1" w:styleId="SubtitleChar">
    <w:name w:val="Subtitle Char"/>
    <w:basedOn w:val="DefaultParagraphFont"/>
    <w:link w:val="Subtitle"/>
    <w:uiPriority w:val="11"/>
    <w:rsid w:val="00BB45F3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Quote1">
    <w:name w:val="Quote1"/>
    <w:basedOn w:val="Normal"/>
    <w:next w:val="Normal"/>
    <w:uiPriority w:val="29"/>
    <w:qFormat/>
    <w:rsid w:val="00BB45F3"/>
    <w:pPr>
      <w:spacing w:before="160" w:after="160" w:line="240" w:lineRule="auto"/>
      <w:jc w:val="center"/>
    </w:pPr>
    <w:rPr>
      <w:rFonts w:ascii="Times New Roman" w:eastAsia="Times New Roman" w:hAnsi="Times New Roman" w:cs="Times New Roman"/>
      <w:i/>
      <w:iCs/>
      <w:color w:val="404040"/>
      <w:sz w:val="24"/>
      <w:szCs w:val="24"/>
      <w:lang w:val="en-US" w:eastAsia="en-GB"/>
    </w:rPr>
  </w:style>
  <w:style w:type="character" w:customStyle="1" w:styleId="QuoteChar">
    <w:name w:val="Quote Char"/>
    <w:basedOn w:val="DefaultParagraphFont"/>
    <w:link w:val="Quote"/>
    <w:uiPriority w:val="29"/>
    <w:rsid w:val="00BB45F3"/>
    <w:rPr>
      <w:i/>
      <w:iCs/>
      <w:color w:val="404040"/>
    </w:rPr>
  </w:style>
  <w:style w:type="character" w:customStyle="1" w:styleId="IntenseEmphasis1">
    <w:name w:val="Intense Emphasis1"/>
    <w:basedOn w:val="DefaultParagraphFont"/>
    <w:uiPriority w:val="21"/>
    <w:qFormat/>
    <w:rsid w:val="00BB45F3"/>
    <w:rPr>
      <w:i/>
      <w:iCs/>
      <w:color w:val="2F5496"/>
    </w:rPr>
  </w:style>
  <w:style w:type="paragraph" w:customStyle="1" w:styleId="IntenseQuote1">
    <w:name w:val="Intense Quote1"/>
    <w:basedOn w:val="Normal"/>
    <w:next w:val="Normal"/>
    <w:uiPriority w:val="30"/>
    <w:qFormat/>
    <w:rsid w:val="00BB45F3"/>
    <w:pPr>
      <w:pBdr>
        <w:top w:val="single" w:sz="4" w:space="10" w:color="2F5496"/>
        <w:bottom w:val="single" w:sz="4" w:space="10" w:color="2F5496"/>
      </w:pBdr>
      <w:spacing w:before="360" w:after="360" w:line="240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2F5496"/>
      <w:sz w:val="24"/>
      <w:szCs w:val="24"/>
      <w:lang w:val="en-US" w:eastAsia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45F3"/>
    <w:rPr>
      <w:i/>
      <w:iCs/>
      <w:color w:val="2F5496"/>
    </w:rPr>
  </w:style>
  <w:style w:type="character" w:customStyle="1" w:styleId="IntenseReference1">
    <w:name w:val="Intense Reference1"/>
    <w:basedOn w:val="DefaultParagraphFont"/>
    <w:uiPriority w:val="32"/>
    <w:qFormat/>
    <w:rsid w:val="00BB45F3"/>
    <w:rPr>
      <w:b/>
      <w:bCs/>
      <w:smallCaps/>
      <w:color w:val="2F5496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BB45F3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-Accent11">
    <w:name w:val="Grid Table 1 Light - Accent 11"/>
    <w:basedOn w:val="TableNormal"/>
    <w:next w:val="GridTable1Light-Accent1"/>
    <w:uiPriority w:val="46"/>
    <w:rsid w:val="00BB45F3"/>
    <w:rPr>
      <w:rFonts w:eastAsia="Calibri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BB45F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 w:eastAsia="en-GB"/>
    </w:rPr>
  </w:style>
  <w:style w:type="character" w:customStyle="1" w:styleId="apple-converted-space">
    <w:name w:val="apple-converted-space"/>
    <w:basedOn w:val="DefaultParagraphFont"/>
    <w:rsid w:val="00BB45F3"/>
  </w:style>
  <w:style w:type="character" w:customStyle="1" w:styleId="NoSpacingChar">
    <w:name w:val="No Spacing Char"/>
    <w:basedOn w:val="DefaultParagraphFont"/>
    <w:link w:val="NoSpacing"/>
    <w:uiPriority w:val="1"/>
    <w:rsid w:val="00BB45F3"/>
    <w:rPr>
      <w:sz w:val="22"/>
    </w:rPr>
  </w:style>
  <w:style w:type="character" w:customStyle="1" w:styleId="SubtleReference1">
    <w:name w:val="Subtle Reference1"/>
    <w:basedOn w:val="DefaultParagraphFont"/>
    <w:uiPriority w:val="31"/>
    <w:qFormat/>
    <w:rsid w:val="00BB45F3"/>
    <w:rPr>
      <w:rFonts w:ascii="Sylfaen" w:hAnsi="Sylfaen"/>
      <w:smallCaps/>
      <w:color w:val="000000"/>
      <w:sz w:val="18"/>
    </w:rPr>
  </w:style>
  <w:style w:type="character" w:customStyle="1" w:styleId="icode">
    <w:name w:val="icode"/>
    <w:basedOn w:val="DefaultParagraphFont"/>
    <w:rsid w:val="00BB45F3"/>
  </w:style>
  <w:style w:type="character" w:styleId="Strong">
    <w:name w:val="Strong"/>
    <w:basedOn w:val="DefaultParagraphFont"/>
    <w:uiPriority w:val="22"/>
    <w:qFormat/>
    <w:rsid w:val="00BB45F3"/>
    <w:rPr>
      <w:b/>
      <w:bCs/>
    </w:rPr>
  </w:style>
  <w:style w:type="character" w:customStyle="1" w:styleId="Heading4Char1">
    <w:name w:val="Heading 4 Char1"/>
    <w:basedOn w:val="DefaultParagraphFont"/>
    <w:uiPriority w:val="9"/>
    <w:semiHidden/>
    <w:rsid w:val="00BB45F3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ka-GE"/>
    </w:rPr>
  </w:style>
  <w:style w:type="character" w:customStyle="1" w:styleId="Heading5Char1">
    <w:name w:val="Heading 5 Char1"/>
    <w:basedOn w:val="DefaultParagraphFont"/>
    <w:uiPriority w:val="9"/>
    <w:semiHidden/>
    <w:rsid w:val="00BB45F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ka-GE"/>
    </w:rPr>
  </w:style>
  <w:style w:type="character" w:customStyle="1" w:styleId="Heading6Char1">
    <w:name w:val="Heading 6 Char1"/>
    <w:basedOn w:val="DefaultParagraphFont"/>
    <w:uiPriority w:val="9"/>
    <w:semiHidden/>
    <w:rsid w:val="00BB45F3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val="ka-GE"/>
    </w:rPr>
  </w:style>
  <w:style w:type="character" w:customStyle="1" w:styleId="Heading7Char1">
    <w:name w:val="Heading 7 Char1"/>
    <w:basedOn w:val="DefaultParagraphFont"/>
    <w:uiPriority w:val="9"/>
    <w:semiHidden/>
    <w:rsid w:val="00BB45F3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val="ka-GE"/>
    </w:rPr>
  </w:style>
  <w:style w:type="character" w:customStyle="1" w:styleId="Heading8Char1">
    <w:name w:val="Heading 8 Char1"/>
    <w:basedOn w:val="DefaultParagraphFont"/>
    <w:uiPriority w:val="9"/>
    <w:semiHidden/>
    <w:rsid w:val="00BB45F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ka-GE"/>
    </w:rPr>
  </w:style>
  <w:style w:type="character" w:customStyle="1" w:styleId="Heading9Char1">
    <w:name w:val="Heading 9 Char1"/>
    <w:basedOn w:val="DefaultParagraphFont"/>
    <w:uiPriority w:val="9"/>
    <w:semiHidden/>
    <w:rsid w:val="00BB45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ka-GE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45F3"/>
    <w:pPr>
      <w:numPr>
        <w:ilvl w:val="1"/>
      </w:numPr>
      <w:spacing w:after="160"/>
    </w:pPr>
    <w:rPr>
      <w:rFonts w:asciiTheme="minorHAnsi" w:eastAsia="Times New Roman" w:hAnsiTheme="minorHAnsi" w:cs="Times New Roman"/>
      <w:color w:val="595959"/>
      <w:spacing w:val="15"/>
      <w:sz w:val="28"/>
      <w:szCs w:val="28"/>
      <w:lang w:val="en-US"/>
    </w:rPr>
  </w:style>
  <w:style w:type="character" w:customStyle="1" w:styleId="SubtitleChar1">
    <w:name w:val="Subtitle Char1"/>
    <w:basedOn w:val="DefaultParagraphFont"/>
    <w:uiPriority w:val="11"/>
    <w:rsid w:val="00BB45F3"/>
    <w:rPr>
      <w:color w:val="5A5A5A" w:themeColor="text1" w:themeTint="A5"/>
      <w:spacing w:val="15"/>
      <w:sz w:val="22"/>
      <w:szCs w:val="22"/>
      <w:lang w:val="ka-GE"/>
    </w:rPr>
  </w:style>
  <w:style w:type="paragraph" w:styleId="Quote">
    <w:name w:val="Quote"/>
    <w:basedOn w:val="Normal"/>
    <w:next w:val="Normal"/>
    <w:link w:val="QuoteChar"/>
    <w:uiPriority w:val="29"/>
    <w:qFormat/>
    <w:rsid w:val="00BB45F3"/>
    <w:pPr>
      <w:spacing w:before="200" w:after="160"/>
      <w:ind w:left="864" w:right="864"/>
      <w:jc w:val="center"/>
    </w:pPr>
    <w:rPr>
      <w:rFonts w:asciiTheme="minorHAnsi" w:eastAsiaTheme="minorEastAsia" w:hAnsiTheme="minorHAnsi" w:cstheme="minorBidi"/>
      <w:i/>
      <w:iCs/>
      <w:color w:val="404040"/>
      <w:sz w:val="24"/>
      <w:szCs w:val="24"/>
      <w:lang w:val="en-US"/>
    </w:rPr>
  </w:style>
  <w:style w:type="character" w:customStyle="1" w:styleId="QuoteChar1">
    <w:name w:val="Quote Char1"/>
    <w:basedOn w:val="DefaultParagraphFont"/>
    <w:uiPriority w:val="29"/>
    <w:rsid w:val="00BB45F3"/>
    <w:rPr>
      <w:rFonts w:ascii="Sylfaen" w:eastAsia="Sylfaen" w:hAnsi="Sylfaen" w:cstheme="minorHAnsi"/>
      <w:i/>
      <w:iCs/>
      <w:color w:val="404040" w:themeColor="text1" w:themeTint="BF"/>
      <w:sz w:val="20"/>
      <w:szCs w:val="20"/>
      <w:lang w:val="ka-GE"/>
    </w:rPr>
  </w:style>
  <w:style w:type="character" w:styleId="IntenseEmphasis">
    <w:name w:val="Intense Emphasis"/>
    <w:basedOn w:val="DefaultParagraphFont"/>
    <w:uiPriority w:val="21"/>
    <w:qFormat/>
    <w:rsid w:val="00BB45F3"/>
    <w:rPr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45F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/>
      <w:sz w:val="24"/>
      <w:szCs w:val="24"/>
      <w:lang w:val="en-US"/>
    </w:rPr>
  </w:style>
  <w:style w:type="character" w:customStyle="1" w:styleId="IntenseQuoteChar1">
    <w:name w:val="Intense Quote Char1"/>
    <w:basedOn w:val="DefaultParagraphFont"/>
    <w:uiPriority w:val="30"/>
    <w:rsid w:val="00BB45F3"/>
    <w:rPr>
      <w:rFonts w:ascii="Sylfaen" w:eastAsia="Sylfaen" w:hAnsi="Sylfaen" w:cstheme="minorHAnsi"/>
      <w:i/>
      <w:iCs/>
      <w:color w:val="4F81BD" w:themeColor="accent1"/>
      <w:sz w:val="20"/>
      <w:szCs w:val="20"/>
      <w:lang w:val="ka-GE"/>
    </w:rPr>
  </w:style>
  <w:style w:type="character" w:styleId="IntenseReference">
    <w:name w:val="Intense Reference"/>
    <w:basedOn w:val="DefaultParagraphFont"/>
    <w:uiPriority w:val="32"/>
    <w:qFormat/>
    <w:rsid w:val="00BB45F3"/>
    <w:rPr>
      <w:b/>
      <w:bCs/>
      <w:smallCaps/>
      <w:color w:val="4F81BD" w:themeColor="accent1"/>
      <w:spacing w:val="5"/>
    </w:rPr>
  </w:style>
  <w:style w:type="character" w:styleId="SubtleReference">
    <w:name w:val="Subtle Reference"/>
    <w:basedOn w:val="DefaultParagraphFont"/>
    <w:uiPriority w:val="31"/>
    <w:qFormat/>
    <w:rsid w:val="00BB45F3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0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362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1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matsne.gov.ge/ka/document/view/5952086?publication=0" TargetMode="External"/><Relationship Id="rId2" Type="http://schemas.openxmlformats.org/officeDocument/2006/relationships/hyperlink" Target="https://old.moh.gov.ge/uploads/guidelines/2023/08/03/6b0005af8f5124e14b4e914cf87624b7.pdf" TargetMode="External"/><Relationship Id="rId1" Type="http://schemas.openxmlformats.org/officeDocument/2006/relationships/hyperlink" Target="https://old.moh.gov.ge/uploads/guidelines/2023/08/03/9af3c381dc4198b41acf7cbabb654f10.pdf" TargetMode="External"/><Relationship Id="rId4" Type="http://schemas.openxmlformats.org/officeDocument/2006/relationships/hyperlink" Target="https://www.matsne.gov.ge/ka/document/view/4869455?publication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F74A8-B71D-1745-954B-91473F0C3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35</Pages>
  <Words>7212</Words>
  <Characters>41110</Characters>
  <Application>Microsoft Office Word</Application>
  <DocSecurity>0</DocSecurity>
  <Lines>342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Curatio International Foundation</Company>
  <LinksUpToDate>false</LinksUpToDate>
  <CharactersWithSpaces>48226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Ivdity Chikovani</dc:creator>
  <cp:lastModifiedBy>Irma Kitiashvili</cp:lastModifiedBy>
  <cp:revision>65</cp:revision>
  <cp:lastPrinted>2025-03-20T16:03:00Z</cp:lastPrinted>
  <dcterms:created xsi:type="dcterms:W3CDTF">2025-04-30T08:13:00Z</dcterms:created>
  <dcterms:modified xsi:type="dcterms:W3CDTF">2025-04-30T14:06:00Z</dcterms:modified>
</cp:coreProperties>
</file>