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02E0D" w:rsidRPr="00947D4C" w:rsidRDefault="00F02E0D" w:rsidP="00947D4C">
      <w:pPr>
        <w:spacing w:before="120" w:after="120" w:line="276" w:lineRule="auto"/>
        <w:jc w:val="right"/>
        <w:rPr>
          <w:rFonts w:ascii="Sylfaen" w:hAnsi="Sylfaen"/>
          <w:i/>
          <w:u w:val="single"/>
          <w:lang w:val="ka-GE"/>
        </w:rPr>
      </w:pPr>
      <w:r w:rsidRPr="00F02E0D">
        <w:rPr>
          <w:rFonts w:ascii="Sylfaen" w:hAnsi="Sylfaen"/>
          <w:i/>
          <w:u w:val="single"/>
          <w:lang w:val="ka-GE"/>
        </w:rPr>
        <w:t>დანართი №1</w:t>
      </w:r>
    </w:p>
    <w:p w:rsidR="00947D4C" w:rsidRDefault="00947D4C" w:rsidP="00F02E0D">
      <w:pPr>
        <w:spacing w:before="120" w:after="120" w:line="276" w:lineRule="auto"/>
        <w:jc w:val="center"/>
        <w:rPr>
          <w:rFonts w:ascii="Sylfaen" w:hAnsi="Sylfaen"/>
          <w:b/>
          <w:lang w:val="ka-GE"/>
        </w:rPr>
      </w:pPr>
    </w:p>
    <w:p w:rsidR="00F02E0D" w:rsidRPr="007B3BE0" w:rsidRDefault="00F02E0D" w:rsidP="00F02E0D">
      <w:pPr>
        <w:spacing w:before="120" w:after="120" w:line="276" w:lineRule="auto"/>
        <w:jc w:val="center"/>
        <w:rPr>
          <w:rFonts w:ascii="Sylfaen" w:hAnsi="Sylfaen"/>
          <w:b/>
          <w:lang w:val="ka-GE"/>
        </w:rPr>
      </w:pPr>
      <w:bookmarkStart w:id="0" w:name="_GoBack"/>
      <w:bookmarkEnd w:id="0"/>
      <w:r w:rsidRPr="007B3BE0">
        <w:rPr>
          <w:rFonts w:ascii="Sylfaen" w:hAnsi="Sylfaen"/>
          <w:b/>
          <w:lang w:val="ka-GE"/>
        </w:rPr>
        <w:t>საგამოცდო პროგრამა</w:t>
      </w:r>
    </w:p>
    <w:p w:rsidR="00F02E0D" w:rsidRPr="007B3BE0" w:rsidRDefault="00F02E0D" w:rsidP="00F02E0D">
      <w:pPr>
        <w:spacing w:before="120" w:after="120" w:line="276" w:lineRule="auto"/>
        <w:jc w:val="center"/>
        <w:rPr>
          <w:rFonts w:ascii="Sylfaen" w:hAnsi="Sylfaen"/>
          <w:b/>
          <w:lang w:val="ka-GE"/>
        </w:rPr>
      </w:pPr>
    </w:p>
    <w:p w:rsidR="00F02E0D" w:rsidRPr="007B3BE0" w:rsidRDefault="00F02E0D" w:rsidP="00F02E0D">
      <w:pPr>
        <w:spacing w:before="120" w:after="120" w:line="276" w:lineRule="auto"/>
        <w:jc w:val="both"/>
        <w:rPr>
          <w:rFonts w:ascii="Sylfaen" w:hAnsi="Sylfaen"/>
          <w:lang w:val="ka-GE"/>
        </w:rPr>
      </w:pPr>
      <w:r w:rsidRPr="007B3BE0">
        <w:rPr>
          <w:rFonts w:ascii="Sylfaen" w:hAnsi="Sylfaen"/>
          <w:lang w:val="ka-GE"/>
        </w:rPr>
        <w:t xml:space="preserve">საკვალიფიკაციო გამოცდის ჩარჩო </w:t>
      </w:r>
    </w:p>
    <w:p w:rsidR="00F02E0D" w:rsidRPr="007B3BE0" w:rsidRDefault="00F02E0D" w:rsidP="00F02E0D">
      <w:pPr>
        <w:spacing w:before="120" w:after="120" w:line="276" w:lineRule="auto"/>
        <w:jc w:val="both"/>
        <w:rPr>
          <w:rFonts w:ascii="Sylfaen" w:hAnsi="Sylfaen"/>
          <w:lang w:val="ka-GE"/>
        </w:rPr>
      </w:pPr>
      <w:r w:rsidRPr="007B3BE0">
        <w:rPr>
          <w:rFonts w:ascii="Sylfaen" w:hAnsi="Sylfaen"/>
          <w:lang w:val="ka-GE"/>
        </w:rPr>
        <w:t xml:space="preserve">საერთო სპეციალიზაციის </w:t>
      </w:r>
      <w:proofErr w:type="spellStart"/>
      <w:r w:rsidRPr="007B3BE0">
        <w:rPr>
          <w:rFonts w:ascii="Sylfaen" w:hAnsi="Sylfaen"/>
          <w:lang w:val="ka-GE"/>
        </w:rPr>
        <w:t>პატენტრწმუნებულისთვის</w:t>
      </w:r>
      <w:proofErr w:type="spellEnd"/>
      <w:r w:rsidRPr="007B3BE0">
        <w:rPr>
          <w:rFonts w:ascii="Sylfaen" w:hAnsi="Sylfaen"/>
          <w:lang w:val="ka-GE"/>
        </w:rPr>
        <w:t xml:space="preserve"> </w:t>
      </w:r>
    </w:p>
    <w:tbl>
      <w:tblPr>
        <w:tblStyle w:val="TableGridLight"/>
        <w:tblW w:w="9612" w:type="dxa"/>
        <w:tblLook w:val="04A0" w:firstRow="1" w:lastRow="0" w:firstColumn="1" w:lastColumn="0" w:noHBand="0" w:noVBand="1"/>
      </w:tblPr>
      <w:tblGrid>
        <w:gridCol w:w="974"/>
        <w:gridCol w:w="1987"/>
        <w:gridCol w:w="3640"/>
        <w:gridCol w:w="1049"/>
        <w:gridCol w:w="1117"/>
        <w:gridCol w:w="845"/>
      </w:tblGrid>
      <w:tr w:rsidR="00F02E0D" w:rsidRPr="007B3BE0" w:rsidTr="00F6060B">
        <w:trPr>
          <w:trHeight w:val="283"/>
        </w:trPr>
        <w:tc>
          <w:tcPr>
            <w:tcW w:w="974"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ეტაპი</w:t>
            </w:r>
          </w:p>
        </w:tc>
        <w:tc>
          <w:tcPr>
            <w:tcW w:w="1987"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დავალების ტიპი</w:t>
            </w:r>
          </w:p>
        </w:tc>
        <w:tc>
          <w:tcPr>
            <w:tcW w:w="3640"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შინაარსი</w:t>
            </w:r>
          </w:p>
        </w:tc>
        <w:tc>
          <w:tcPr>
            <w:tcW w:w="1049"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სულ (ქულა)</w:t>
            </w:r>
          </w:p>
        </w:tc>
        <w:tc>
          <w:tcPr>
            <w:tcW w:w="1117"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proofErr w:type="spellStart"/>
            <w:r w:rsidRPr="007B3BE0">
              <w:rPr>
                <w:rFonts w:ascii="Sylfaen" w:hAnsi="Sylfaen"/>
                <w:b/>
                <w:color w:val="FFFFFF" w:themeColor="background1"/>
                <w:lang w:val="ka-GE"/>
              </w:rPr>
              <w:t>მინ</w:t>
            </w:r>
            <w:proofErr w:type="spellEnd"/>
            <w:r w:rsidRPr="007B3BE0">
              <w:rPr>
                <w:rFonts w:ascii="Sylfaen" w:hAnsi="Sylfaen"/>
                <w:b/>
                <w:color w:val="FFFFFF" w:themeColor="background1"/>
                <w:lang w:val="ka-GE"/>
              </w:rPr>
              <w:t xml:space="preserve"> (ქულა)</w:t>
            </w:r>
          </w:p>
        </w:tc>
        <w:tc>
          <w:tcPr>
            <w:tcW w:w="845"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დრო</w:t>
            </w:r>
          </w:p>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(სთ)</w:t>
            </w:r>
          </w:p>
        </w:tc>
      </w:tr>
      <w:tr w:rsidR="00F02E0D" w:rsidRPr="007B3BE0" w:rsidTr="00F6060B">
        <w:trPr>
          <w:trHeight w:val="283"/>
        </w:trPr>
        <w:tc>
          <w:tcPr>
            <w:tcW w:w="974" w:type="dxa"/>
            <w:shd w:val="clear" w:color="auto" w:fill="auto"/>
          </w:tcPr>
          <w:p w:rsidR="00F02E0D" w:rsidRPr="007B3BE0" w:rsidRDefault="00F02E0D" w:rsidP="00F6060B">
            <w:pPr>
              <w:pStyle w:val="NoSpacing"/>
              <w:spacing w:before="120" w:after="120" w:line="276" w:lineRule="auto"/>
              <w:jc w:val="center"/>
              <w:rPr>
                <w:rFonts w:ascii="Sylfaen" w:hAnsi="Sylfaen"/>
                <w:b/>
                <w:lang w:val="ka-GE"/>
              </w:rPr>
            </w:pPr>
            <w:r w:rsidRPr="007B3BE0">
              <w:rPr>
                <w:rFonts w:ascii="Sylfaen" w:hAnsi="Sylfaen"/>
                <w:b/>
                <w:lang w:val="ka-GE"/>
              </w:rPr>
              <w:t>I</w:t>
            </w:r>
          </w:p>
          <w:p w:rsidR="00F02E0D" w:rsidRPr="007B3BE0" w:rsidRDefault="00F02E0D" w:rsidP="00F6060B">
            <w:pPr>
              <w:pStyle w:val="NoSpacing"/>
              <w:spacing w:before="120" w:after="120" w:line="276" w:lineRule="auto"/>
              <w:jc w:val="center"/>
              <w:rPr>
                <w:rFonts w:ascii="Sylfaen" w:hAnsi="Sylfaen"/>
                <w:b/>
                <w:color w:val="FFFFFF" w:themeColor="background1"/>
                <w:lang w:val="ka-GE"/>
              </w:rPr>
            </w:pPr>
          </w:p>
        </w:tc>
        <w:tc>
          <w:tcPr>
            <w:tcW w:w="1987" w:type="dxa"/>
            <w:shd w:val="clear" w:color="auto" w:fill="auto"/>
          </w:tcPr>
          <w:p w:rsidR="00F02E0D" w:rsidRPr="007B3BE0" w:rsidRDefault="00F02E0D" w:rsidP="00F6060B">
            <w:pPr>
              <w:pStyle w:val="NoSpacing"/>
              <w:spacing w:before="120" w:after="120" w:line="276" w:lineRule="auto"/>
              <w:jc w:val="center"/>
              <w:rPr>
                <w:rFonts w:ascii="Sylfaen" w:hAnsi="Sylfaen"/>
                <w:b/>
                <w:lang w:val="ka-GE"/>
              </w:rPr>
            </w:pPr>
            <w:r w:rsidRPr="007B3BE0">
              <w:rPr>
                <w:rFonts w:ascii="Sylfaen" w:hAnsi="Sylfaen"/>
                <w:b/>
                <w:lang w:val="ka-GE"/>
              </w:rPr>
              <w:t>50 ტესტური დავალება</w:t>
            </w:r>
          </w:p>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lang w:val="ka-GE"/>
              </w:rPr>
              <w:t>თითოეული 4</w:t>
            </w:r>
            <w:r>
              <w:rPr>
                <w:rFonts w:ascii="Sylfaen" w:hAnsi="Sylfaen"/>
                <w:lang w:val="ka-GE"/>
              </w:rPr>
              <w:t xml:space="preserve"> </w:t>
            </w:r>
            <w:r w:rsidRPr="007B3BE0">
              <w:rPr>
                <w:rFonts w:ascii="Sylfaen" w:hAnsi="Sylfaen"/>
                <w:lang w:val="ka-GE"/>
              </w:rPr>
              <w:t>სავარაუდო პასუხით</w:t>
            </w:r>
          </w:p>
        </w:tc>
        <w:tc>
          <w:tcPr>
            <w:tcW w:w="3640" w:type="dxa"/>
            <w:shd w:val="clear" w:color="auto" w:fill="auto"/>
            <w:vAlign w:val="center"/>
          </w:tcPr>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ინტელექტუალური საკუთრების ცნება;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ინტელექტუალური საკუთრების დაცვის ეროვნული და საერთაშორისო სისტემა;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პატენტრწმუნებულის პროფესიასთან დაკავშირებული ნორმები;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ინტელექტუალური საკუთრების სფეროს მარეგულირებელი საერთაშორისო აქტები;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გამოგონება და სასარგებლო მოდელი (პატენტები);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სასაქონლო ნიშანი;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დიზაინი;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ადგილწარმოშობის დასახელება და გეოგრაფიული აღნიშვნა;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ახალი ჯიშები;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კომერციული (სავაჭრო) საიდუმლოება;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საავტორო და მომიჯნავე უფლებები –</w:t>
            </w:r>
            <w:r w:rsidRPr="007B3BE0">
              <w:rPr>
                <w:rFonts w:ascii="Sylfaen" w:hAnsi="Sylfaen"/>
              </w:rPr>
              <w:t xml:space="preserve"> </w:t>
            </w:r>
            <w:r w:rsidRPr="007B3BE0">
              <w:rPr>
                <w:rFonts w:ascii="Sylfaen" w:hAnsi="Sylfaen"/>
                <w:lang w:val="ka-GE"/>
              </w:rPr>
              <w:t>ძირითადი პრინციპები.</w:t>
            </w:r>
          </w:p>
        </w:tc>
        <w:tc>
          <w:tcPr>
            <w:tcW w:w="1049" w:type="dxa"/>
            <w:shd w:val="clear" w:color="auto" w:fill="auto"/>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lang w:val="ka-GE"/>
              </w:rPr>
              <w:t>50</w:t>
            </w:r>
          </w:p>
        </w:tc>
        <w:tc>
          <w:tcPr>
            <w:tcW w:w="1117" w:type="dxa"/>
            <w:shd w:val="clear" w:color="auto" w:fill="auto"/>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color w:val="000000" w:themeColor="text1"/>
                <w:lang w:val="ka-GE"/>
              </w:rPr>
              <w:t>35 (70%)</w:t>
            </w:r>
          </w:p>
        </w:tc>
        <w:tc>
          <w:tcPr>
            <w:tcW w:w="845" w:type="dxa"/>
            <w:shd w:val="clear" w:color="auto" w:fill="auto"/>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color w:val="000000" w:themeColor="text1"/>
                <w:lang w:val="ka-GE"/>
              </w:rPr>
              <w:t>2</w:t>
            </w:r>
          </w:p>
        </w:tc>
      </w:tr>
      <w:tr w:rsidR="00F02E0D" w:rsidRPr="007B3BE0" w:rsidTr="00F6060B">
        <w:trPr>
          <w:trHeight w:val="283"/>
        </w:trPr>
        <w:tc>
          <w:tcPr>
            <w:tcW w:w="974" w:type="dxa"/>
            <w:shd w:val="clear" w:color="auto" w:fill="auto"/>
          </w:tcPr>
          <w:p w:rsidR="00F02E0D" w:rsidRPr="007B3BE0" w:rsidRDefault="00F02E0D" w:rsidP="00F6060B">
            <w:pPr>
              <w:pStyle w:val="NoSpacing"/>
              <w:spacing w:before="120" w:after="120" w:line="276" w:lineRule="auto"/>
              <w:jc w:val="center"/>
              <w:rPr>
                <w:rFonts w:ascii="Sylfaen" w:hAnsi="Sylfaen"/>
                <w:b/>
              </w:rPr>
            </w:pPr>
            <w:r w:rsidRPr="007B3BE0">
              <w:rPr>
                <w:rFonts w:ascii="Sylfaen" w:hAnsi="Sylfaen"/>
                <w:b/>
                <w:lang w:val="ka-GE"/>
              </w:rPr>
              <w:lastRenderedPageBreak/>
              <w:t>I</w:t>
            </w:r>
            <w:r w:rsidRPr="007B3BE0">
              <w:rPr>
                <w:rFonts w:ascii="Sylfaen" w:hAnsi="Sylfaen"/>
                <w:b/>
              </w:rPr>
              <w:t>I</w:t>
            </w:r>
          </w:p>
          <w:p w:rsidR="00F02E0D" w:rsidRPr="007B3BE0" w:rsidRDefault="00F02E0D" w:rsidP="00F6060B">
            <w:pPr>
              <w:pStyle w:val="NoSpacing"/>
              <w:spacing w:before="120" w:after="120" w:line="276" w:lineRule="auto"/>
              <w:jc w:val="center"/>
              <w:rPr>
                <w:rFonts w:ascii="Sylfaen" w:hAnsi="Sylfaen"/>
                <w:b/>
                <w:lang w:val="ka-GE"/>
              </w:rPr>
            </w:pPr>
          </w:p>
        </w:tc>
        <w:tc>
          <w:tcPr>
            <w:tcW w:w="1987" w:type="dxa"/>
            <w:shd w:val="clear" w:color="auto" w:fill="auto"/>
          </w:tcPr>
          <w:p w:rsidR="00F02E0D" w:rsidRPr="007B3BE0" w:rsidRDefault="00F02E0D" w:rsidP="00F6060B">
            <w:pPr>
              <w:pStyle w:val="NoSpacing"/>
              <w:spacing w:before="120" w:after="120" w:line="276" w:lineRule="auto"/>
              <w:jc w:val="center"/>
              <w:rPr>
                <w:rFonts w:ascii="Sylfaen" w:hAnsi="Sylfaen"/>
                <w:b/>
                <w:lang w:val="ka-GE"/>
              </w:rPr>
            </w:pPr>
            <w:r w:rsidRPr="007B3BE0">
              <w:rPr>
                <w:rFonts w:ascii="Sylfaen" w:hAnsi="Sylfaen"/>
                <w:b/>
                <w:lang w:val="ka-GE"/>
              </w:rPr>
              <w:t xml:space="preserve">კაზუსის ტიპის წერითი დავალება </w:t>
            </w:r>
          </w:p>
          <w:p w:rsidR="00F02E0D" w:rsidRPr="007B3BE0" w:rsidRDefault="00F02E0D" w:rsidP="00F6060B">
            <w:pPr>
              <w:pStyle w:val="NoSpacing"/>
              <w:spacing w:before="120" w:after="120" w:line="276" w:lineRule="auto"/>
              <w:jc w:val="center"/>
              <w:rPr>
                <w:rFonts w:ascii="Sylfaen" w:hAnsi="Sylfaen"/>
                <w:b/>
              </w:rPr>
            </w:pPr>
            <w:r w:rsidRPr="007B3BE0">
              <w:rPr>
                <w:rFonts w:ascii="Sylfaen" w:hAnsi="Sylfaen"/>
                <w:lang w:val="ka-GE"/>
              </w:rPr>
              <w:t>5 პირობით (კომპონენტით</w:t>
            </w:r>
            <w:r w:rsidRPr="007B3BE0">
              <w:rPr>
                <w:rFonts w:ascii="Sylfaen" w:hAnsi="Sylfaen"/>
              </w:rPr>
              <w:t>)</w:t>
            </w:r>
          </w:p>
          <w:p w:rsidR="00F02E0D" w:rsidRPr="007B3BE0" w:rsidRDefault="00F02E0D" w:rsidP="00F6060B">
            <w:pPr>
              <w:pStyle w:val="NoSpacing"/>
              <w:spacing w:before="120" w:after="120" w:line="276" w:lineRule="auto"/>
              <w:jc w:val="center"/>
              <w:rPr>
                <w:rFonts w:ascii="Sylfaen" w:hAnsi="Sylfaen"/>
                <w:b/>
                <w:lang w:val="ka-GE"/>
              </w:rPr>
            </w:pPr>
          </w:p>
        </w:tc>
        <w:tc>
          <w:tcPr>
            <w:tcW w:w="3640" w:type="dxa"/>
            <w:shd w:val="clear" w:color="auto" w:fill="auto"/>
          </w:tcPr>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ეროვნული განაცხადის შედგენა/წარდგენა;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საერთაშორისო განაცხადის შედგენა/წარდგენა;</w:t>
            </w:r>
          </w:p>
          <w:p w:rsidR="00F02E0D" w:rsidRPr="007B3BE0" w:rsidRDefault="00F02E0D" w:rsidP="00F6060B">
            <w:pPr>
              <w:pStyle w:val="NoSpacing"/>
              <w:spacing w:before="120" w:after="120" w:line="276" w:lineRule="auto"/>
              <w:ind w:right="-171"/>
              <w:rPr>
                <w:rFonts w:ascii="Sylfaen" w:hAnsi="Sylfaen"/>
                <w:lang w:val="ka-GE"/>
              </w:rPr>
            </w:pPr>
            <w:r w:rsidRPr="007B3BE0">
              <w:rPr>
                <w:rFonts w:ascii="Sylfaen" w:hAnsi="Sylfaen"/>
                <w:lang w:val="ka-GE"/>
              </w:rPr>
              <w:t>წარმომადგენლობა საქპატენტთან არსებულ სააპელაციო პალატაში (სააპელაციო საჩივრის/</w:t>
            </w:r>
            <w:proofErr w:type="spellStart"/>
            <w:r w:rsidRPr="007B3BE0">
              <w:rPr>
                <w:rFonts w:ascii="Sylfaen" w:hAnsi="Sylfaen"/>
                <w:lang w:val="ka-GE"/>
              </w:rPr>
              <w:t>შესაგებლის</w:t>
            </w:r>
            <w:proofErr w:type="spellEnd"/>
            <w:r w:rsidRPr="007B3BE0">
              <w:rPr>
                <w:rFonts w:ascii="Sylfaen" w:hAnsi="Sylfaen"/>
                <w:lang w:val="ka-GE"/>
              </w:rPr>
              <w:t xml:space="preserve"> შედგენა/წარდგენა);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კონსულტაციის გაწევა (წერილობითი პასუხის მომზადება);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 xml:space="preserve">სხვა ქმედება (ძიება ბაზაში/ოფიციალურ ბიულეტენში, სალიცენზიო განაცხადის რეგისტრაცია და </w:t>
            </w:r>
            <w:proofErr w:type="spellStart"/>
            <w:r w:rsidRPr="007B3BE0">
              <w:rPr>
                <w:rFonts w:ascii="Sylfaen" w:hAnsi="Sylfaen"/>
                <w:lang w:val="ka-GE"/>
              </w:rPr>
              <w:t>ა.შ</w:t>
            </w:r>
            <w:proofErr w:type="spellEnd"/>
            <w:r w:rsidRPr="007B3BE0">
              <w:rPr>
                <w:rFonts w:ascii="Sylfaen" w:hAnsi="Sylfaen"/>
                <w:lang w:val="ka-GE"/>
              </w:rPr>
              <w:t>).</w:t>
            </w:r>
          </w:p>
        </w:tc>
        <w:tc>
          <w:tcPr>
            <w:tcW w:w="1049" w:type="dxa"/>
            <w:shd w:val="clear" w:color="auto" w:fill="auto"/>
          </w:tcPr>
          <w:p w:rsidR="00F02E0D" w:rsidRPr="007B3BE0" w:rsidRDefault="00F02E0D" w:rsidP="00F6060B">
            <w:pPr>
              <w:pStyle w:val="NoSpacing"/>
              <w:spacing w:before="120" w:after="120" w:line="276" w:lineRule="auto"/>
              <w:jc w:val="center"/>
              <w:rPr>
                <w:rFonts w:ascii="Sylfaen" w:hAnsi="Sylfaen"/>
                <w:lang w:val="ka-GE"/>
              </w:rPr>
            </w:pPr>
            <w:r w:rsidRPr="007B3BE0">
              <w:rPr>
                <w:rFonts w:ascii="Sylfaen" w:hAnsi="Sylfaen"/>
                <w:color w:val="000000" w:themeColor="text1"/>
                <w:lang w:val="ka-GE"/>
              </w:rPr>
              <w:t>50</w:t>
            </w:r>
          </w:p>
        </w:tc>
        <w:tc>
          <w:tcPr>
            <w:tcW w:w="1117" w:type="dxa"/>
            <w:shd w:val="clear" w:color="auto" w:fill="auto"/>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25 (50%)</w:t>
            </w:r>
          </w:p>
        </w:tc>
        <w:tc>
          <w:tcPr>
            <w:tcW w:w="845" w:type="dxa"/>
            <w:shd w:val="clear" w:color="auto" w:fill="auto"/>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3</w:t>
            </w:r>
          </w:p>
        </w:tc>
      </w:tr>
      <w:tr w:rsidR="00F02E0D" w:rsidRPr="007B3BE0" w:rsidTr="00F6060B">
        <w:trPr>
          <w:trHeight w:val="283"/>
        </w:trPr>
        <w:tc>
          <w:tcPr>
            <w:tcW w:w="6601" w:type="dxa"/>
            <w:gridSpan w:val="3"/>
            <w:shd w:val="clear" w:color="auto" w:fill="D9D9D9" w:themeFill="background1" w:themeFillShade="D9"/>
          </w:tcPr>
          <w:p w:rsidR="00F02E0D" w:rsidRPr="007B3BE0" w:rsidRDefault="00F02E0D" w:rsidP="00F6060B">
            <w:pPr>
              <w:pStyle w:val="NoSpacing"/>
              <w:spacing w:before="120" w:after="120" w:line="276" w:lineRule="auto"/>
              <w:ind w:right="-29"/>
              <w:rPr>
                <w:rFonts w:ascii="Sylfaen" w:hAnsi="Sylfaen"/>
                <w:lang w:val="ka-GE"/>
              </w:rPr>
            </w:pPr>
            <w:r w:rsidRPr="007B3BE0">
              <w:rPr>
                <w:rFonts w:ascii="Sylfaen" w:hAnsi="Sylfaen"/>
                <w:lang w:val="ka-GE"/>
              </w:rPr>
              <w:t>საკვალიფიკაციო გამოცდა ჩაბარებულად ჩაითვლება ორივე ეტაპისათვის დადგენილი მინიმალური გამსვლელი ქულის მიღების შემთხვევაში.</w:t>
            </w:r>
          </w:p>
        </w:tc>
        <w:tc>
          <w:tcPr>
            <w:tcW w:w="1049" w:type="dxa"/>
            <w:shd w:val="clear" w:color="auto" w:fill="D9D9D9" w:themeFill="background1" w:themeFillShade="D9"/>
            <w:vAlign w:val="center"/>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100</w:t>
            </w:r>
          </w:p>
        </w:tc>
        <w:tc>
          <w:tcPr>
            <w:tcW w:w="1117" w:type="dxa"/>
            <w:shd w:val="clear" w:color="auto" w:fill="D9D9D9" w:themeFill="background1" w:themeFillShade="D9"/>
            <w:vAlign w:val="center"/>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w:t>
            </w:r>
          </w:p>
        </w:tc>
        <w:tc>
          <w:tcPr>
            <w:tcW w:w="845" w:type="dxa"/>
            <w:shd w:val="clear" w:color="auto" w:fill="D9D9D9" w:themeFill="background1" w:themeFillShade="D9"/>
            <w:vAlign w:val="center"/>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w:t>
            </w:r>
          </w:p>
        </w:tc>
      </w:tr>
    </w:tbl>
    <w:p w:rsidR="00F02E0D" w:rsidRPr="007B3BE0" w:rsidRDefault="00F02E0D" w:rsidP="00F02E0D">
      <w:pPr>
        <w:spacing w:before="120" w:after="120" w:line="276" w:lineRule="auto"/>
        <w:jc w:val="both"/>
        <w:rPr>
          <w:rFonts w:ascii="Sylfaen" w:hAnsi="Sylfaen"/>
          <w:highlight w:val="yellow"/>
          <w:lang w:val="ka-GE"/>
        </w:rPr>
      </w:pPr>
    </w:p>
    <w:p w:rsidR="00F02E0D" w:rsidRPr="007B3BE0" w:rsidRDefault="00F02E0D" w:rsidP="00F02E0D">
      <w:pPr>
        <w:spacing w:before="120" w:after="120" w:line="276" w:lineRule="auto"/>
        <w:rPr>
          <w:rFonts w:ascii="Sylfaen" w:hAnsi="Sylfaen"/>
          <w:lang w:val="ka-GE"/>
        </w:rPr>
      </w:pPr>
      <w:r w:rsidRPr="007B3BE0">
        <w:rPr>
          <w:rFonts w:ascii="Sylfaen" w:hAnsi="Sylfaen"/>
          <w:lang w:val="ka-GE"/>
        </w:rPr>
        <w:br w:type="page"/>
      </w:r>
      <w:r w:rsidRPr="007B3BE0">
        <w:rPr>
          <w:rFonts w:ascii="Sylfaen" w:hAnsi="Sylfaen"/>
          <w:lang w:val="ka-GE"/>
        </w:rPr>
        <w:lastRenderedPageBreak/>
        <w:t>საკვალიფიკაციო გამოცდის ჩარჩო</w:t>
      </w:r>
    </w:p>
    <w:p w:rsidR="00F02E0D" w:rsidRPr="007B3BE0" w:rsidRDefault="00F02E0D" w:rsidP="00F02E0D">
      <w:pPr>
        <w:pStyle w:val="NoSpacing"/>
        <w:spacing w:before="120" w:after="120" w:line="276" w:lineRule="auto"/>
        <w:jc w:val="both"/>
        <w:rPr>
          <w:rFonts w:ascii="Sylfaen" w:hAnsi="Sylfaen"/>
          <w:lang w:val="ka-GE"/>
        </w:rPr>
      </w:pPr>
      <w:r w:rsidRPr="007B3BE0">
        <w:rPr>
          <w:rFonts w:ascii="Sylfaen" w:hAnsi="Sylfaen"/>
          <w:lang w:val="ka-GE"/>
        </w:rPr>
        <w:t xml:space="preserve">სასაქონლო ნიშნების სპეციალიზაციის </w:t>
      </w:r>
      <w:proofErr w:type="spellStart"/>
      <w:r w:rsidRPr="007B3BE0">
        <w:rPr>
          <w:rFonts w:ascii="Sylfaen" w:hAnsi="Sylfaen"/>
          <w:lang w:val="ka-GE"/>
        </w:rPr>
        <w:t>პატენტრწმუნებულისთვის</w:t>
      </w:r>
      <w:proofErr w:type="spellEnd"/>
      <w:r w:rsidRPr="007B3BE0">
        <w:rPr>
          <w:rFonts w:ascii="Sylfaen" w:hAnsi="Sylfaen"/>
          <w:lang w:val="ka-GE"/>
        </w:rPr>
        <w:t xml:space="preserve"> </w:t>
      </w:r>
    </w:p>
    <w:tbl>
      <w:tblPr>
        <w:tblStyle w:val="TableGridLight"/>
        <w:tblW w:w="9612" w:type="dxa"/>
        <w:tblLook w:val="04A0" w:firstRow="1" w:lastRow="0" w:firstColumn="1" w:lastColumn="0" w:noHBand="0" w:noVBand="1"/>
      </w:tblPr>
      <w:tblGrid>
        <w:gridCol w:w="980"/>
        <w:gridCol w:w="1994"/>
        <w:gridCol w:w="3430"/>
        <w:gridCol w:w="1113"/>
        <w:gridCol w:w="1245"/>
        <w:gridCol w:w="850"/>
      </w:tblGrid>
      <w:tr w:rsidR="00F02E0D" w:rsidRPr="007B3BE0" w:rsidTr="00F6060B">
        <w:trPr>
          <w:trHeight w:val="283"/>
        </w:trPr>
        <w:tc>
          <w:tcPr>
            <w:tcW w:w="980"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ეტაპი</w:t>
            </w:r>
          </w:p>
        </w:tc>
        <w:tc>
          <w:tcPr>
            <w:tcW w:w="1994"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დავალების ტიპი</w:t>
            </w:r>
          </w:p>
        </w:tc>
        <w:tc>
          <w:tcPr>
            <w:tcW w:w="3430"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შინაარსი</w:t>
            </w:r>
          </w:p>
        </w:tc>
        <w:tc>
          <w:tcPr>
            <w:tcW w:w="1113"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სულ (ქულა)</w:t>
            </w:r>
          </w:p>
        </w:tc>
        <w:tc>
          <w:tcPr>
            <w:tcW w:w="1245"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proofErr w:type="spellStart"/>
            <w:r w:rsidRPr="007B3BE0">
              <w:rPr>
                <w:rFonts w:ascii="Sylfaen" w:hAnsi="Sylfaen"/>
                <w:b/>
                <w:color w:val="FFFFFF" w:themeColor="background1"/>
                <w:lang w:val="ka-GE"/>
              </w:rPr>
              <w:t>მინ</w:t>
            </w:r>
            <w:proofErr w:type="spellEnd"/>
            <w:r w:rsidRPr="007B3BE0">
              <w:rPr>
                <w:rFonts w:ascii="Sylfaen" w:hAnsi="Sylfaen"/>
                <w:b/>
                <w:color w:val="FFFFFF" w:themeColor="background1"/>
                <w:lang w:val="ka-GE"/>
              </w:rPr>
              <w:t xml:space="preserve"> (ქულა)</w:t>
            </w:r>
          </w:p>
        </w:tc>
        <w:tc>
          <w:tcPr>
            <w:tcW w:w="850" w:type="dxa"/>
            <w:shd w:val="clear" w:color="auto" w:fill="1F4E79" w:themeFill="accent1" w:themeFillShade="80"/>
            <w:vAlign w:val="center"/>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დრო</w:t>
            </w:r>
          </w:p>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b/>
                <w:color w:val="FFFFFF" w:themeColor="background1"/>
                <w:lang w:val="ka-GE"/>
              </w:rPr>
              <w:t>(სთ)</w:t>
            </w:r>
          </w:p>
        </w:tc>
      </w:tr>
      <w:tr w:rsidR="00F02E0D" w:rsidRPr="007B3BE0" w:rsidTr="00F6060B">
        <w:trPr>
          <w:trHeight w:val="283"/>
        </w:trPr>
        <w:tc>
          <w:tcPr>
            <w:tcW w:w="980" w:type="dxa"/>
            <w:shd w:val="clear" w:color="auto" w:fill="auto"/>
          </w:tcPr>
          <w:p w:rsidR="00F02E0D" w:rsidRPr="007B3BE0" w:rsidRDefault="00F02E0D" w:rsidP="00F6060B">
            <w:pPr>
              <w:pStyle w:val="NoSpacing"/>
              <w:spacing w:before="120" w:after="120" w:line="276" w:lineRule="auto"/>
              <w:jc w:val="center"/>
              <w:rPr>
                <w:rFonts w:ascii="Sylfaen" w:hAnsi="Sylfaen"/>
                <w:b/>
                <w:lang w:val="ka-GE"/>
              </w:rPr>
            </w:pPr>
            <w:r w:rsidRPr="007B3BE0">
              <w:rPr>
                <w:rFonts w:ascii="Sylfaen" w:hAnsi="Sylfaen"/>
                <w:b/>
                <w:lang w:val="ka-GE"/>
              </w:rPr>
              <w:t>I</w:t>
            </w:r>
          </w:p>
          <w:p w:rsidR="00F02E0D" w:rsidRPr="007B3BE0" w:rsidRDefault="00F02E0D" w:rsidP="00F6060B">
            <w:pPr>
              <w:pStyle w:val="NoSpacing"/>
              <w:spacing w:before="120" w:after="120" w:line="276" w:lineRule="auto"/>
              <w:jc w:val="center"/>
              <w:rPr>
                <w:rFonts w:ascii="Sylfaen" w:hAnsi="Sylfaen"/>
                <w:b/>
                <w:color w:val="FFFFFF" w:themeColor="background1"/>
                <w:lang w:val="ka-GE"/>
              </w:rPr>
            </w:pPr>
          </w:p>
        </w:tc>
        <w:tc>
          <w:tcPr>
            <w:tcW w:w="1994" w:type="dxa"/>
            <w:shd w:val="clear" w:color="auto" w:fill="auto"/>
          </w:tcPr>
          <w:p w:rsidR="00F02E0D" w:rsidRPr="007B3BE0" w:rsidRDefault="00F02E0D" w:rsidP="00F6060B">
            <w:pPr>
              <w:pStyle w:val="NoSpacing"/>
              <w:spacing w:before="120" w:after="120" w:line="276" w:lineRule="auto"/>
              <w:jc w:val="center"/>
              <w:rPr>
                <w:rFonts w:ascii="Sylfaen" w:hAnsi="Sylfaen"/>
                <w:b/>
                <w:lang w:val="ka-GE"/>
              </w:rPr>
            </w:pPr>
            <w:r w:rsidRPr="007B3BE0">
              <w:rPr>
                <w:rFonts w:ascii="Sylfaen" w:hAnsi="Sylfaen"/>
                <w:b/>
                <w:lang w:val="ka-GE"/>
              </w:rPr>
              <w:t>50 ტესტური დავალება</w:t>
            </w:r>
          </w:p>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lang w:val="ka-GE"/>
              </w:rPr>
              <w:t>თითოეული 4</w:t>
            </w:r>
            <w:r>
              <w:rPr>
                <w:rFonts w:ascii="Sylfaen" w:hAnsi="Sylfaen"/>
                <w:lang w:val="ka-GE"/>
              </w:rPr>
              <w:t xml:space="preserve"> </w:t>
            </w:r>
            <w:r w:rsidRPr="007B3BE0">
              <w:rPr>
                <w:rFonts w:ascii="Sylfaen" w:hAnsi="Sylfaen"/>
                <w:lang w:val="ka-GE"/>
              </w:rPr>
              <w:t>სავარაუდო პასუხით</w:t>
            </w:r>
          </w:p>
        </w:tc>
        <w:tc>
          <w:tcPr>
            <w:tcW w:w="3430" w:type="dxa"/>
            <w:shd w:val="clear" w:color="auto" w:fill="auto"/>
            <w:vAlign w:val="center"/>
          </w:tcPr>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პატენტრწმუნებულის პროფესიასთან დაკავშირებული ნორმები;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ინტელექტუალური საკუთრების ცნება;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ინტელექტუალური საკუთრების დაცვის ეროვნული და საერთაშორისო სისტემა;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ინტელექტუალური საკუთრების სფეროს მარეგულირებელი საერთაშორისო აქტები;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სასაქონლო ნიშანი;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დიზაინი;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საქონლის ადგილწარმოშობის დასახელება და გეოგრაფიული აღნიშვნა;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ახალი ჯიშები;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კომერციული (სავაჭრო) საიდუმლოება;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საავტორო და მომიჯნავე უფლებები –</w:t>
            </w:r>
            <w:r w:rsidRPr="007B3BE0">
              <w:rPr>
                <w:rFonts w:ascii="Sylfaen" w:hAnsi="Sylfaen"/>
              </w:rPr>
              <w:t xml:space="preserve"> </w:t>
            </w:r>
            <w:r w:rsidRPr="007B3BE0">
              <w:rPr>
                <w:rFonts w:ascii="Sylfaen" w:hAnsi="Sylfaen"/>
                <w:lang w:val="ka-GE"/>
              </w:rPr>
              <w:t>ძირითადი პრინციპები;</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გამოგონება და სასარგებლო მოდელი (პატენტები)/ –ძირითადი პრინციპები.</w:t>
            </w:r>
          </w:p>
        </w:tc>
        <w:tc>
          <w:tcPr>
            <w:tcW w:w="1113" w:type="dxa"/>
            <w:shd w:val="clear" w:color="auto" w:fill="auto"/>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lang w:val="ka-GE"/>
              </w:rPr>
              <w:t>50</w:t>
            </w:r>
          </w:p>
        </w:tc>
        <w:tc>
          <w:tcPr>
            <w:tcW w:w="1245" w:type="dxa"/>
            <w:shd w:val="clear" w:color="auto" w:fill="auto"/>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color w:val="000000" w:themeColor="text1"/>
                <w:lang w:val="ka-GE"/>
              </w:rPr>
              <w:t>35 (70%)</w:t>
            </w:r>
          </w:p>
        </w:tc>
        <w:tc>
          <w:tcPr>
            <w:tcW w:w="850" w:type="dxa"/>
            <w:shd w:val="clear" w:color="auto" w:fill="auto"/>
          </w:tcPr>
          <w:p w:rsidR="00F02E0D" w:rsidRPr="007B3BE0" w:rsidRDefault="00F02E0D" w:rsidP="00F6060B">
            <w:pPr>
              <w:pStyle w:val="NoSpacing"/>
              <w:spacing w:before="120" w:after="120" w:line="276" w:lineRule="auto"/>
              <w:jc w:val="center"/>
              <w:rPr>
                <w:rFonts w:ascii="Sylfaen" w:hAnsi="Sylfaen"/>
                <w:b/>
                <w:color w:val="FFFFFF" w:themeColor="background1"/>
                <w:lang w:val="ka-GE"/>
              </w:rPr>
            </w:pPr>
            <w:r w:rsidRPr="007B3BE0">
              <w:rPr>
                <w:rFonts w:ascii="Sylfaen" w:hAnsi="Sylfaen"/>
                <w:color w:val="000000" w:themeColor="text1"/>
                <w:lang w:val="ka-GE"/>
              </w:rPr>
              <w:t>2</w:t>
            </w:r>
          </w:p>
        </w:tc>
      </w:tr>
      <w:tr w:rsidR="00F02E0D" w:rsidRPr="007B3BE0" w:rsidTr="00F6060B">
        <w:trPr>
          <w:trHeight w:val="283"/>
        </w:trPr>
        <w:tc>
          <w:tcPr>
            <w:tcW w:w="980" w:type="dxa"/>
            <w:shd w:val="clear" w:color="auto" w:fill="auto"/>
          </w:tcPr>
          <w:p w:rsidR="00F02E0D" w:rsidRPr="007B3BE0" w:rsidRDefault="00F02E0D" w:rsidP="00F6060B">
            <w:pPr>
              <w:pStyle w:val="NoSpacing"/>
              <w:spacing w:before="120" w:after="120" w:line="276" w:lineRule="auto"/>
              <w:jc w:val="center"/>
              <w:rPr>
                <w:rFonts w:ascii="Sylfaen" w:hAnsi="Sylfaen"/>
                <w:b/>
              </w:rPr>
            </w:pPr>
            <w:r w:rsidRPr="007B3BE0">
              <w:rPr>
                <w:rFonts w:ascii="Sylfaen" w:hAnsi="Sylfaen"/>
                <w:b/>
                <w:lang w:val="ka-GE"/>
              </w:rPr>
              <w:t>I</w:t>
            </w:r>
            <w:r w:rsidRPr="007B3BE0">
              <w:rPr>
                <w:rFonts w:ascii="Sylfaen" w:hAnsi="Sylfaen"/>
                <w:b/>
              </w:rPr>
              <w:t>I</w:t>
            </w:r>
          </w:p>
          <w:p w:rsidR="00F02E0D" w:rsidRPr="007B3BE0" w:rsidRDefault="00F02E0D" w:rsidP="00F6060B">
            <w:pPr>
              <w:pStyle w:val="NoSpacing"/>
              <w:spacing w:before="120" w:after="120" w:line="276" w:lineRule="auto"/>
              <w:jc w:val="center"/>
              <w:rPr>
                <w:rFonts w:ascii="Sylfaen" w:hAnsi="Sylfaen"/>
                <w:b/>
                <w:lang w:val="ka-GE"/>
              </w:rPr>
            </w:pPr>
          </w:p>
        </w:tc>
        <w:tc>
          <w:tcPr>
            <w:tcW w:w="1994" w:type="dxa"/>
            <w:shd w:val="clear" w:color="auto" w:fill="auto"/>
          </w:tcPr>
          <w:p w:rsidR="00F02E0D" w:rsidRPr="007B3BE0" w:rsidRDefault="00F02E0D" w:rsidP="00F6060B">
            <w:pPr>
              <w:pStyle w:val="NoSpacing"/>
              <w:spacing w:before="120" w:after="120" w:line="276" w:lineRule="auto"/>
              <w:jc w:val="center"/>
              <w:rPr>
                <w:rFonts w:ascii="Sylfaen" w:hAnsi="Sylfaen"/>
                <w:b/>
                <w:lang w:val="ka-GE"/>
              </w:rPr>
            </w:pPr>
            <w:r w:rsidRPr="007B3BE0">
              <w:rPr>
                <w:rFonts w:ascii="Sylfaen" w:hAnsi="Sylfaen"/>
                <w:b/>
                <w:lang w:val="ka-GE"/>
              </w:rPr>
              <w:t xml:space="preserve">კაზუსის ტიპის წერითი დავალება </w:t>
            </w:r>
          </w:p>
          <w:p w:rsidR="00F02E0D" w:rsidRPr="007B3BE0" w:rsidRDefault="00F02E0D" w:rsidP="00F6060B">
            <w:pPr>
              <w:pStyle w:val="NoSpacing"/>
              <w:spacing w:before="120" w:after="120" w:line="276" w:lineRule="auto"/>
              <w:jc w:val="center"/>
              <w:rPr>
                <w:rFonts w:ascii="Sylfaen" w:hAnsi="Sylfaen"/>
                <w:b/>
              </w:rPr>
            </w:pPr>
            <w:r w:rsidRPr="007B3BE0">
              <w:rPr>
                <w:rFonts w:ascii="Sylfaen" w:hAnsi="Sylfaen"/>
                <w:lang w:val="ka-GE"/>
              </w:rPr>
              <w:lastRenderedPageBreak/>
              <w:t>5 პირობით (კომპონენტით</w:t>
            </w:r>
            <w:r w:rsidRPr="007B3BE0">
              <w:rPr>
                <w:rFonts w:ascii="Sylfaen" w:hAnsi="Sylfaen"/>
              </w:rPr>
              <w:t>)</w:t>
            </w:r>
          </w:p>
          <w:p w:rsidR="00F02E0D" w:rsidRPr="007B3BE0" w:rsidRDefault="00F02E0D" w:rsidP="00F6060B">
            <w:pPr>
              <w:pStyle w:val="NoSpacing"/>
              <w:spacing w:before="120" w:after="120" w:line="276" w:lineRule="auto"/>
              <w:jc w:val="center"/>
              <w:rPr>
                <w:rFonts w:ascii="Sylfaen" w:hAnsi="Sylfaen"/>
                <w:b/>
                <w:lang w:val="ka-GE"/>
              </w:rPr>
            </w:pPr>
          </w:p>
        </w:tc>
        <w:tc>
          <w:tcPr>
            <w:tcW w:w="3430" w:type="dxa"/>
            <w:shd w:val="clear" w:color="auto" w:fill="auto"/>
          </w:tcPr>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lastRenderedPageBreak/>
              <w:t>ეროვნული განაცხადის შედგენა/წარდგენა;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lastRenderedPageBreak/>
              <w:t>საერთაშორისო განაცხადის შედგენა/წარდგენა;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წარმომადგენლობა საქპატენტთან არსებულ სააპელაციო პალატაში (სააპელაციო საჩივრის/</w:t>
            </w:r>
            <w:proofErr w:type="spellStart"/>
            <w:r w:rsidRPr="007B3BE0">
              <w:rPr>
                <w:rFonts w:ascii="Sylfaen" w:hAnsi="Sylfaen"/>
                <w:lang w:val="ka-GE"/>
              </w:rPr>
              <w:t>შესაგებლის</w:t>
            </w:r>
            <w:proofErr w:type="spellEnd"/>
            <w:r w:rsidRPr="007B3BE0">
              <w:rPr>
                <w:rFonts w:ascii="Sylfaen" w:hAnsi="Sylfaen"/>
                <w:lang w:val="ka-GE"/>
              </w:rPr>
              <w:t xml:space="preserve"> შედგენა/წარდგენა);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კონსულტაციის გაწევა (წერილობითი პასუხის მომზადება);</w:t>
            </w:r>
          </w:p>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 xml:space="preserve">სხვა ქმედება (ძიება ბაზაში/ოფიციალურ ბიულეტენში, სალიცენზიო განაცხადის რეგისტრაცია და </w:t>
            </w:r>
            <w:proofErr w:type="spellStart"/>
            <w:r w:rsidRPr="007B3BE0">
              <w:rPr>
                <w:rFonts w:ascii="Sylfaen" w:hAnsi="Sylfaen"/>
                <w:lang w:val="ka-GE"/>
              </w:rPr>
              <w:t>ა.შ</w:t>
            </w:r>
            <w:proofErr w:type="spellEnd"/>
            <w:r w:rsidRPr="007B3BE0">
              <w:rPr>
                <w:rFonts w:ascii="Sylfaen" w:hAnsi="Sylfaen"/>
                <w:lang w:val="ka-GE"/>
              </w:rPr>
              <w:t>.).</w:t>
            </w:r>
          </w:p>
        </w:tc>
        <w:tc>
          <w:tcPr>
            <w:tcW w:w="1113" w:type="dxa"/>
            <w:shd w:val="clear" w:color="auto" w:fill="auto"/>
          </w:tcPr>
          <w:p w:rsidR="00F02E0D" w:rsidRPr="007B3BE0" w:rsidRDefault="00F02E0D" w:rsidP="00F6060B">
            <w:pPr>
              <w:pStyle w:val="NoSpacing"/>
              <w:spacing w:before="120" w:after="120" w:line="276" w:lineRule="auto"/>
              <w:jc w:val="center"/>
              <w:rPr>
                <w:rFonts w:ascii="Sylfaen" w:hAnsi="Sylfaen"/>
                <w:lang w:val="ka-GE"/>
              </w:rPr>
            </w:pPr>
            <w:r w:rsidRPr="007B3BE0">
              <w:rPr>
                <w:rFonts w:ascii="Sylfaen" w:hAnsi="Sylfaen"/>
                <w:color w:val="000000" w:themeColor="text1"/>
                <w:lang w:val="ka-GE"/>
              </w:rPr>
              <w:lastRenderedPageBreak/>
              <w:t>50</w:t>
            </w:r>
          </w:p>
        </w:tc>
        <w:tc>
          <w:tcPr>
            <w:tcW w:w="1245" w:type="dxa"/>
            <w:shd w:val="clear" w:color="auto" w:fill="auto"/>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25 (50%)</w:t>
            </w:r>
          </w:p>
        </w:tc>
        <w:tc>
          <w:tcPr>
            <w:tcW w:w="850" w:type="dxa"/>
            <w:shd w:val="clear" w:color="auto" w:fill="auto"/>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3</w:t>
            </w:r>
          </w:p>
        </w:tc>
      </w:tr>
      <w:tr w:rsidR="00F02E0D" w:rsidRPr="007B3BE0" w:rsidTr="00F6060B">
        <w:trPr>
          <w:trHeight w:val="283"/>
        </w:trPr>
        <w:tc>
          <w:tcPr>
            <w:tcW w:w="6404" w:type="dxa"/>
            <w:gridSpan w:val="3"/>
            <w:shd w:val="clear" w:color="auto" w:fill="D9D9D9" w:themeFill="background1" w:themeFillShade="D9"/>
          </w:tcPr>
          <w:p w:rsidR="00F02E0D" w:rsidRPr="007B3BE0" w:rsidRDefault="00F02E0D" w:rsidP="00F6060B">
            <w:pPr>
              <w:pStyle w:val="NoSpacing"/>
              <w:spacing w:before="120" w:after="120" w:line="276" w:lineRule="auto"/>
              <w:rPr>
                <w:rFonts w:ascii="Sylfaen" w:hAnsi="Sylfaen"/>
                <w:lang w:val="ka-GE"/>
              </w:rPr>
            </w:pPr>
            <w:r w:rsidRPr="007B3BE0">
              <w:rPr>
                <w:rFonts w:ascii="Sylfaen" w:hAnsi="Sylfaen"/>
                <w:lang w:val="ka-GE"/>
              </w:rPr>
              <w:t>საკვალიფიკაციო გამოცდა ჩაბარებულად ჩაითვლება ორივე ეტაპისათვის დადგენილი მინიმალური გამსვლელი ქულის მიღების შემთხვევაში.</w:t>
            </w:r>
          </w:p>
        </w:tc>
        <w:tc>
          <w:tcPr>
            <w:tcW w:w="1113" w:type="dxa"/>
            <w:shd w:val="clear" w:color="auto" w:fill="D9D9D9" w:themeFill="background1" w:themeFillShade="D9"/>
            <w:vAlign w:val="center"/>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100</w:t>
            </w:r>
          </w:p>
        </w:tc>
        <w:tc>
          <w:tcPr>
            <w:tcW w:w="1245" w:type="dxa"/>
            <w:shd w:val="clear" w:color="auto" w:fill="D9D9D9" w:themeFill="background1" w:themeFillShade="D9"/>
            <w:vAlign w:val="center"/>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w:t>
            </w:r>
          </w:p>
        </w:tc>
        <w:tc>
          <w:tcPr>
            <w:tcW w:w="850" w:type="dxa"/>
            <w:shd w:val="clear" w:color="auto" w:fill="D9D9D9" w:themeFill="background1" w:themeFillShade="D9"/>
            <w:vAlign w:val="center"/>
          </w:tcPr>
          <w:p w:rsidR="00F02E0D" w:rsidRPr="007B3BE0" w:rsidRDefault="00F02E0D" w:rsidP="00F6060B">
            <w:pPr>
              <w:pStyle w:val="NoSpacing"/>
              <w:spacing w:before="120" w:after="120" w:line="276" w:lineRule="auto"/>
              <w:jc w:val="center"/>
              <w:rPr>
                <w:rFonts w:ascii="Sylfaen" w:hAnsi="Sylfaen"/>
                <w:color w:val="000000" w:themeColor="text1"/>
                <w:lang w:val="ka-GE"/>
              </w:rPr>
            </w:pPr>
            <w:r w:rsidRPr="007B3BE0">
              <w:rPr>
                <w:rFonts w:ascii="Sylfaen" w:hAnsi="Sylfaen"/>
                <w:color w:val="000000" w:themeColor="text1"/>
                <w:lang w:val="ka-GE"/>
              </w:rPr>
              <w:t>–</w:t>
            </w:r>
          </w:p>
        </w:tc>
      </w:tr>
    </w:tbl>
    <w:p w:rsidR="00F02E0D" w:rsidRPr="007B3BE0" w:rsidRDefault="00F02E0D" w:rsidP="00F02E0D">
      <w:pPr>
        <w:pStyle w:val="NoSpacing"/>
        <w:spacing w:before="120" w:after="120" w:line="276" w:lineRule="auto"/>
        <w:jc w:val="both"/>
        <w:rPr>
          <w:rFonts w:ascii="Sylfaen" w:hAnsi="Sylfaen"/>
          <w:lang w:val="ka-GE"/>
        </w:rPr>
      </w:pPr>
    </w:p>
    <w:p w:rsidR="00F02E0D" w:rsidRPr="007B3BE0" w:rsidRDefault="00F02E0D" w:rsidP="00F02E0D">
      <w:pPr>
        <w:pStyle w:val="NoSpacing"/>
        <w:spacing w:before="120" w:after="120" w:line="276" w:lineRule="auto"/>
        <w:jc w:val="both"/>
        <w:rPr>
          <w:rFonts w:ascii="Sylfaen" w:hAnsi="Sylfaen"/>
          <w:lang w:val="ka-GE"/>
        </w:rPr>
      </w:pPr>
    </w:p>
    <w:p w:rsidR="00F02E0D" w:rsidRPr="007B3BE0" w:rsidRDefault="00F02E0D" w:rsidP="00F02E0D">
      <w:pPr>
        <w:pStyle w:val="NoSpacing"/>
        <w:spacing w:before="120" w:after="120" w:line="276" w:lineRule="auto"/>
        <w:jc w:val="both"/>
        <w:rPr>
          <w:rFonts w:ascii="Sylfaen" w:hAnsi="Sylfaen"/>
          <w:lang w:val="ka-GE"/>
        </w:rPr>
      </w:pPr>
    </w:p>
    <w:p w:rsidR="00F02E0D" w:rsidRPr="007B3BE0" w:rsidRDefault="00F02E0D" w:rsidP="00F02E0D">
      <w:pPr>
        <w:pStyle w:val="NoSpacing"/>
        <w:spacing w:before="120" w:after="120" w:line="276" w:lineRule="auto"/>
        <w:jc w:val="both"/>
        <w:rPr>
          <w:rFonts w:ascii="Sylfaen" w:hAnsi="Sylfaen"/>
          <w:lang w:val="ka-GE"/>
        </w:rPr>
      </w:pPr>
    </w:p>
    <w:p w:rsidR="00F02E0D" w:rsidRPr="007B3BE0" w:rsidRDefault="00F02E0D" w:rsidP="00F02E0D">
      <w:pPr>
        <w:pStyle w:val="NoSpacing"/>
        <w:spacing w:before="120" w:after="120" w:line="276" w:lineRule="auto"/>
        <w:jc w:val="both"/>
        <w:rPr>
          <w:rFonts w:ascii="Sylfaen" w:hAnsi="Sylfaen"/>
          <w:lang w:val="ka-GE"/>
        </w:rPr>
      </w:pPr>
    </w:p>
    <w:p w:rsidR="00F02E0D" w:rsidRPr="007B3BE0" w:rsidRDefault="00F02E0D" w:rsidP="00F02E0D">
      <w:pPr>
        <w:spacing w:before="120" w:after="120" w:line="276" w:lineRule="auto"/>
        <w:rPr>
          <w:rFonts w:ascii="Sylfaen" w:hAnsi="Sylfaen" w:cs="Sylfaen"/>
          <w:b/>
          <w:noProof/>
          <w:lang w:val="ka-GE"/>
        </w:rPr>
        <w:sectPr w:rsidR="00F02E0D" w:rsidRPr="007B3BE0" w:rsidSect="00EE1D8B">
          <w:footerReference w:type="default" r:id="rId7"/>
          <w:pgSz w:w="11906" w:h="16838"/>
          <w:pgMar w:top="1440" w:right="1440" w:bottom="1440" w:left="1440" w:header="709" w:footer="709" w:gutter="0"/>
          <w:cols w:space="708"/>
          <w:docGrid w:linePitch="360"/>
        </w:sectPr>
      </w:pPr>
    </w:p>
    <w:p w:rsidR="00F02E0D" w:rsidRPr="007B3BE0" w:rsidRDefault="00F02E0D" w:rsidP="00F02E0D">
      <w:pPr>
        <w:spacing w:before="120" w:after="120" w:line="276" w:lineRule="auto"/>
        <w:rPr>
          <w:rFonts w:ascii="Sylfaen" w:hAnsi="Sylfaen" w:cs="Sylfaen"/>
          <w:b/>
          <w:noProof/>
          <w:lang w:val="ka-GE"/>
        </w:rPr>
      </w:pPr>
      <w:r w:rsidRPr="007B3BE0">
        <w:rPr>
          <w:rFonts w:ascii="Sylfaen" w:hAnsi="Sylfaen" w:cs="Sylfaen"/>
          <w:b/>
          <w:noProof/>
          <w:lang w:val="ka-GE"/>
        </w:rPr>
        <w:lastRenderedPageBreak/>
        <w:t xml:space="preserve">საგამოცდო მასალა </w:t>
      </w:r>
    </w:p>
    <w:p w:rsidR="00F02E0D" w:rsidRPr="007B3BE0" w:rsidRDefault="00F02E0D" w:rsidP="00F02E0D">
      <w:pPr>
        <w:spacing w:before="120" w:after="120" w:line="276" w:lineRule="auto"/>
        <w:rPr>
          <w:rFonts w:ascii="Sylfaen" w:hAnsi="Sylfaen" w:cs="Sylfaen"/>
          <w:b/>
          <w:noProof/>
          <w:lang w:val="ka-GE"/>
        </w:rPr>
      </w:pPr>
      <w:r w:rsidRPr="007B3BE0">
        <w:rPr>
          <w:rFonts w:ascii="Sylfaen" w:hAnsi="Sylfaen" w:cs="Sylfaen"/>
          <w:b/>
          <w:noProof/>
          <w:lang w:val="ka-GE"/>
        </w:rPr>
        <w:t>საკანონმდებლო</w:t>
      </w:r>
      <w:r w:rsidRPr="007B3BE0">
        <w:rPr>
          <w:rFonts w:ascii="Sylfaen" w:hAnsi="Sylfaen" w:cs="Arial"/>
          <w:b/>
          <w:noProof/>
          <w:lang w:val="ka-GE"/>
        </w:rPr>
        <w:t xml:space="preserve"> </w:t>
      </w:r>
      <w:r w:rsidRPr="007B3BE0">
        <w:rPr>
          <w:rFonts w:ascii="Sylfaen" w:hAnsi="Sylfaen" w:cs="Sylfaen"/>
          <w:b/>
          <w:noProof/>
          <w:lang w:val="ka-GE"/>
        </w:rPr>
        <w:t xml:space="preserve">აქტები </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საქართველოს საპატენტო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„საავტორო და მომიჯნავე უფლებების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„სასაქონლო ნიშნების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„საქონლის ადგილწარმოშობის დასახელებისა და გეოგრაფიული აღნიშვნის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„დიზაინის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„ცხოველთა და მცენარეთა ახალი ჯიშების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„ინტეგრალური მიკროსქემის ტოპოლოგიის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„ინტელექტუალურ საკუთრებასთან დაკავშირებულ სასაზღვრო ღონისძიებათა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„საქართველოს პატენტრწმუნებულთა შესახებ“ საქართველოს კანონი;</w:t>
      </w:r>
    </w:p>
    <w:p w:rsidR="00F02E0D" w:rsidRPr="007B3BE0" w:rsidRDefault="00F02E0D" w:rsidP="00F02E0D">
      <w:pPr>
        <w:numPr>
          <w:ilvl w:val="0"/>
          <w:numId w:val="1"/>
        </w:numPr>
        <w:spacing w:before="120" w:after="120" w:line="276" w:lineRule="auto"/>
        <w:jc w:val="both"/>
        <w:rPr>
          <w:rFonts w:ascii="Sylfaen" w:hAnsi="Sylfaen"/>
          <w:lang w:val="ka-GE"/>
        </w:rPr>
      </w:pPr>
      <w:r w:rsidRPr="007B3BE0">
        <w:rPr>
          <w:rFonts w:ascii="Sylfaen" w:hAnsi="Sylfaen"/>
          <w:lang w:val="ka-GE"/>
        </w:rPr>
        <w:t xml:space="preserve">საქართველოს სამოქალაქო საპროცესო კოდექსის </w:t>
      </w:r>
      <w:hyperlink r:id="rId8" w:anchor="!" w:history="1">
        <w:proofErr w:type="spellStart"/>
        <w:r w:rsidRPr="007B3BE0">
          <w:rPr>
            <w:rStyle w:val="Hyperlink"/>
            <w:rFonts w:ascii="Sylfaen" w:hAnsi="Sylfaen"/>
            <w:b/>
            <w:bCs/>
          </w:rPr>
          <w:t>თავი</w:t>
        </w:r>
        <w:proofErr w:type="spellEnd"/>
        <w:r w:rsidRPr="007B3BE0">
          <w:rPr>
            <w:rStyle w:val="Hyperlink"/>
            <w:rFonts w:ascii="Sylfaen" w:hAnsi="Sylfaen"/>
            <w:b/>
            <w:bCs/>
          </w:rPr>
          <w:t xml:space="preserve"> XLIV</w:t>
        </w:r>
        <w:r w:rsidRPr="007B3BE0">
          <w:rPr>
            <w:rStyle w:val="Hyperlink"/>
            <w:rFonts w:ascii="Times New Roman" w:hAnsi="Times New Roman" w:cs="Times New Roman"/>
            <w:b/>
            <w:bCs/>
            <w:vertAlign w:val="superscript"/>
          </w:rPr>
          <w:t>​</w:t>
        </w:r>
        <w:r w:rsidRPr="007B3BE0">
          <w:rPr>
            <w:rStyle w:val="Hyperlink"/>
            <w:rFonts w:ascii="Sylfaen" w:hAnsi="Sylfaen"/>
            <w:b/>
            <w:bCs/>
            <w:vertAlign w:val="superscript"/>
          </w:rPr>
          <w:t>12</w:t>
        </w:r>
      </w:hyperlink>
      <w:r w:rsidRPr="007B3BE0">
        <w:rPr>
          <w:rFonts w:ascii="Sylfaen" w:hAnsi="Sylfaen"/>
          <w:lang w:val="ka-GE"/>
        </w:rPr>
        <w:t xml:space="preserve"> – ინტელექტუალური საკუთრების ობიექტზე განსაკუთრებული უფლების დარღვევის საქმეზე მტკიცებულებათა უზრუნველყოფის ღონისძიებანი, ინფორმაციის მიღების უფლება და სარჩელის უზრუნველყოფის ღონისძიებანი.</w:t>
      </w:r>
    </w:p>
    <w:p w:rsidR="00F02E0D" w:rsidRPr="007B3BE0" w:rsidRDefault="00F02E0D" w:rsidP="00F02E0D">
      <w:pPr>
        <w:spacing w:before="120" w:after="120" w:line="276" w:lineRule="auto"/>
        <w:ind w:left="118"/>
        <w:rPr>
          <w:rFonts w:ascii="Sylfaen" w:hAnsi="Sylfaen" w:cs="Arial"/>
          <w:noProof/>
          <w:lang w:val="ka-GE"/>
        </w:rPr>
      </w:pPr>
    </w:p>
    <w:p w:rsidR="00F02E0D" w:rsidRPr="007B3BE0" w:rsidRDefault="00F02E0D" w:rsidP="00F02E0D">
      <w:pPr>
        <w:spacing w:before="120" w:after="120" w:line="276" w:lineRule="auto"/>
        <w:ind w:right="32"/>
        <w:rPr>
          <w:rFonts w:ascii="Sylfaen" w:hAnsi="Sylfaen" w:cs="Sylfaen"/>
          <w:b/>
          <w:noProof/>
          <w:color w:val="0563C1" w:themeColor="hyperlink"/>
          <w:u w:val="single"/>
          <w:lang w:val="ka-GE"/>
        </w:rPr>
      </w:pPr>
      <w:r w:rsidRPr="007B3BE0">
        <w:rPr>
          <w:rFonts w:ascii="Sylfaen" w:hAnsi="Sylfaen" w:cs="Sylfaen"/>
          <w:b/>
          <w:noProof/>
          <w:lang w:val="ka-GE"/>
        </w:rPr>
        <w:t>კანონქვემდებარე</w:t>
      </w:r>
      <w:r w:rsidRPr="007B3BE0">
        <w:rPr>
          <w:rFonts w:ascii="Sylfaen" w:hAnsi="Sylfaen" w:cs="Arial"/>
          <w:b/>
          <w:noProof/>
          <w:lang w:val="ka-GE"/>
        </w:rPr>
        <w:t xml:space="preserve"> ნორმატიული </w:t>
      </w:r>
      <w:r w:rsidRPr="007B3BE0">
        <w:rPr>
          <w:rFonts w:ascii="Sylfaen" w:hAnsi="Sylfaen" w:cs="Sylfaen"/>
          <w:b/>
          <w:noProof/>
          <w:lang w:val="ka-GE"/>
        </w:rPr>
        <w:t>აქტები</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დებულების დამტკიცების შესახებ“ საქართველოს მთავრობის 2010 წლის 3 ივლისის №181 დადგენილება;</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„ინტელექტუალური საკუთრების ობიექტების </w:t>
      </w:r>
      <w:proofErr w:type="spellStart"/>
      <w:r w:rsidRPr="007B3BE0">
        <w:rPr>
          <w:rFonts w:ascii="Sylfaen" w:hAnsi="Sylfaen"/>
          <w:lang w:val="ka-GE"/>
        </w:rPr>
        <w:t>დაპატენტებასთან</w:t>
      </w:r>
      <w:proofErr w:type="spellEnd"/>
      <w:r w:rsidRPr="007B3BE0">
        <w:rPr>
          <w:rFonts w:ascii="Sylfaen" w:hAnsi="Sylfaen"/>
          <w:lang w:val="ka-GE"/>
        </w:rPr>
        <w:t>, რეგისტრაციასთან და დეპონირებასთან დაკავშირებული მომსახურების საფასურების დამტკიცების შესახებ“ საქართველოს მთავრობის 2010 წლის 3 ივლისის №182 დადგენილება;</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„საქპატენტთან არსებული სააპელაციო პალატის დებულების დამტკიცების თაობაზე“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2011 წლის 18 მარტის №2 ბრძანება;</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„გამოგონების და სასარგებლო მოდელის განაცხადის გაფორმების, წარდგენისა და პატენტის გაცემასთან დაკავშირებული პროცედურების შესახებ“ ინსტრუქციის დამტკიცების თაობაზე“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2024 წლის 12 იანვრის №01 ბრძანება; </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lastRenderedPageBreak/>
        <w:t xml:space="preserve">„სასაქონლო ნიშანზე განაცხადის წარდგენისა და რეგისტრაციასთან დაკავშირებული პროცედურების შესახებ“ ინსტრუქციის დამტკიცების თაობაზე“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2014 წლის 19 აგვისტოს №05 ბრძანება; </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„დიზაინის რეგისტრაციის თაობაზე“ ინსტრუქციის დამტკიცების შესახებ“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2011 წლის 14 დეკემბრის №03 ბრძანება;</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 „საქონლის ადგილწარმოშობის დასახელებისა და გეოგრაფიული აღნიშვნის რეგისტრაციის შესახებ“ ინსტრუქციის დამტკიცების თაობაზე“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2024 წლის 11 ოქტომბრის ბრძანება (PDF);</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„ადგილწარმოშობის დასახელებისა და გეოგრაფიული აღნიშვნის განმხილველი ეროვნული კომისიის დებულების“ დამტკიცების თაობაზე“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2024 წლის 11 ოქტომბრის №9 ბრძანება; </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„საქონლის ადგილწარმოშობის დასახელებისა და გეოგრაფიული აღნიშვნის ოფიციალური სიმბოლოების დამტკიცების შესახებ“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2024 წლის 11 ოქტომბრის №9 ბრძანება; </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„მცენარის ახალი ჯიშის შესახებ მონაცემების გამოქვეყნებასთან დაკავშირებით დაინტერესებული პირების შედავებების განხილვის წესის, განაცხადის განხილვის, პროცედურული ვადების გაგრძელების, შეწყვეტისა და აღდგენის წესის და იძულებითი ლიცენზიის გაცემის წესის დამტკიცების თაობაზე (საქართველოს სოფლის მეურნეობის მინისტრის 2007 წლის 30 აგვისტოს №2–132 ბრძანება;</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„ცხოველის ახალი ჯიშის შესახებ მონაცემების გამოქვეყნებასთან დაკავშირებით დაინტერესებული პირების შედავებების განხილვის წესის, განაცხადის განხილვის, პროცედურული ვადების გაგრძელების, შეწყვეტისა და აღდგენის წესის და იძულებითი ლიცენზიის გაცემის წესის დამტკიცების თაობაზე“ საქართველოს სოფლის მეურნეობის მინისტრის 2007 წლის 30 აგვისტოს №2–133 ბრძანება;</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„ქონებრივი უფლებების კოლექტიურ საფუძველზე მმართველი ორგანიზაციის აკრედიტაციის კომისიის შექმნისა და საქმიანობის, აკრედიტაციის კონკურსის ჩატარების, აკრედიტაციის განაცხადის განხილვის საფასურის განსაზღვრისა და ტარიფების განმსაზღვრელი კომისიის საქმიანობის წესის დამტკიცების თაობაზე“ საქართველოს მთავრობის 2023 წლის 04 სექტემბრის №349 დადგენილება; </w:t>
      </w:r>
    </w:p>
    <w:p w:rsidR="00F02E0D" w:rsidRPr="007B3BE0" w:rsidRDefault="00F02E0D" w:rsidP="00F02E0D">
      <w:pPr>
        <w:numPr>
          <w:ilvl w:val="0"/>
          <w:numId w:val="2"/>
        </w:numPr>
        <w:spacing w:before="120" w:after="120" w:line="276" w:lineRule="auto"/>
        <w:ind w:left="360"/>
        <w:jc w:val="both"/>
        <w:rPr>
          <w:rFonts w:ascii="Sylfaen" w:hAnsi="Sylfaen"/>
          <w:lang w:val="ka-GE"/>
        </w:rPr>
      </w:pPr>
      <w:r w:rsidRPr="007B3BE0">
        <w:rPr>
          <w:rFonts w:ascii="Sylfaen" w:hAnsi="Sylfaen"/>
          <w:lang w:val="ka-GE"/>
        </w:rPr>
        <w:t xml:space="preserve">ქონებრივი უფლებების კოლექტიურ საფუძველზე მმართველი ორგანიზაციების რეესტრის წარმოების წესის დამტკიცების შესახებ საჯარო სამართლის იურიდიული პირის – საქართველოს ინტელექტუალური საკუთრების ეროვნული ცენტრის – „საქპატენტის“ თავმჯდომარის 2023 წლის 31 აგვისტოს №01 ბრძანება. </w:t>
      </w:r>
    </w:p>
    <w:p w:rsidR="00F02E0D" w:rsidRPr="007B3BE0" w:rsidRDefault="00F02E0D" w:rsidP="00F02E0D">
      <w:pPr>
        <w:spacing w:before="120" w:after="120" w:line="276" w:lineRule="auto"/>
        <w:ind w:right="32"/>
        <w:jc w:val="both"/>
        <w:rPr>
          <w:rFonts w:ascii="Sylfaen" w:hAnsi="Sylfaen" w:cs="Sylfaen"/>
          <w:b/>
          <w:noProof/>
          <w:color w:val="0563C1" w:themeColor="hyperlink"/>
          <w:u w:val="single"/>
        </w:rPr>
      </w:pPr>
      <w:r w:rsidRPr="007B3BE0">
        <w:rPr>
          <w:rFonts w:ascii="Sylfaen" w:hAnsi="Sylfaen" w:cs="Sylfaen"/>
          <w:b/>
          <w:noProof/>
          <w:lang w:val="ka-GE"/>
        </w:rPr>
        <w:lastRenderedPageBreak/>
        <w:t>საერთაშორისო შეთანხმებები</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სამრეწველო საკუთრების დაცვის პარიზის კონვენცია;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შეთანხმება ინტელექტუალური საკუთრების უფლებების ვაჭრობასთან დაკავშირებული ასპექტების შესახებ (TRIPS);</w:t>
      </w:r>
    </w:p>
    <w:p w:rsidR="00F02E0D" w:rsidRPr="007B3BE0" w:rsidRDefault="00F02E0D" w:rsidP="00F02E0D">
      <w:pPr>
        <w:numPr>
          <w:ilvl w:val="0"/>
          <w:numId w:val="3"/>
        </w:numPr>
        <w:spacing w:before="120" w:after="120" w:line="276" w:lineRule="auto"/>
        <w:jc w:val="both"/>
        <w:rPr>
          <w:rFonts w:ascii="Sylfaen" w:hAnsi="Sylfaen"/>
          <w:color w:val="FF0000"/>
          <w:lang w:val="ka-GE"/>
        </w:rPr>
      </w:pPr>
      <w:r w:rsidRPr="007B3BE0">
        <w:rPr>
          <w:rFonts w:ascii="Sylfaen" w:hAnsi="Sylfaen"/>
          <w:lang w:val="ka-GE"/>
        </w:rPr>
        <w:t xml:space="preserve">ხელშეკრულება საპატენტო კოოპერაციის შესახებ (PCT); </w:t>
      </w:r>
    </w:p>
    <w:p w:rsidR="00F02E0D" w:rsidRPr="007B3BE0" w:rsidRDefault="00F02E0D" w:rsidP="00F02E0D">
      <w:pPr>
        <w:numPr>
          <w:ilvl w:val="0"/>
          <w:numId w:val="3"/>
        </w:numPr>
        <w:spacing w:before="120" w:after="120" w:line="276" w:lineRule="auto"/>
        <w:jc w:val="both"/>
        <w:rPr>
          <w:rFonts w:ascii="Sylfaen" w:hAnsi="Sylfaen"/>
          <w:color w:val="FF0000"/>
          <w:lang w:val="ka-GE"/>
        </w:rPr>
      </w:pPr>
      <w:r w:rsidRPr="007B3BE0">
        <w:rPr>
          <w:rFonts w:ascii="Sylfaen" w:hAnsi="Sylfaen"/>
          <w:lang w:val="ka-GE"/>
        </w:rPr>
        <w:t xml:space="preserve">შეთანხმება საქართველოს მთავრობასა და ევროპის საპატენტო ორგანიზაციას შორის ევროპული პატენტების </w:t>
      </w:r>
      <w:proofErr w:type="spellStart"/>
      <w:r w:rsidRPr="007B3BE0">
        <w:rPr>
          <w:rFonts w:ascii="Sylfaen" w:hAnsi="Sylfaen"/>
          <w:lang w:val="ka-GE"/>
        </w:rPr>
        <w:t>ვალიდაციის</w:t>
      </w:r>
      <w:proofErr w:type="spellEnd"/>
      <w:r w:rsidRPr="007B3BE0">
        <w:rPr>
          <w:rFonts w:ascii="Sylfaen" w:hAnsi="Sylfaen"/>
          <w:lang w:val="ka-GE"/>
        </w:rPr>
        <w:t xml:space="preserve"> შესახებ;</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ლიტერატურისა და ხელოვნების ნაწარმოებების დაცვის შესახებ ბერნის კონვენცია;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ნიშნების საერთაშორისო რეგისტრაციის შესახებ მადრიდის შეთანხმებასთან დაკავშირებული ოქმი;</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საავტორო უფლებების შესახებ ინტელექტუალური საკუთრების მსოფლიო ორგანიზაციის ხელშეკრულება;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შესრულებებისა და ფონოგრამების შესახებ ინტელექტუალური საკუთრების მსოფლიო ორგანიზაციის ხელშეკრულება;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ნიშნების რეგისტრაციისათვის განკუთვნილი საქონლისა და მომსახურების საერთაშორისო კლასიფიკაციის შესახებ ნიცის შეთანხმება;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დიზაინების საერთაშორისო დეპონირების შესახებ ჰააგის შეთანხმება (ჰააგის აქტი);</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დიზაინების საერთაშორისო რეგისტრაციის შესახებ ჰააგის შეთანხმება (ჟენევის აქტი);</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ადგილწარმოშობის დასახელების დაცვისა და მათი საერთაშორისო რეგისტრაციის შესახებ ლისაბონის შეთანხმება;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შემსრულებლების, ფონოგრამების დამამზადებლებისა და სამაუწყებლო ორგანიზაციების უფლებათა დაცვის შესახებ რომის საერთაშორისო კონვენცია;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 xml:space="preserve">საპატენტო პროცედურების მიზნებისათვის </w:t>
      </w:r>
      <w:proofErr w:type="spellStart"/>
      <w:r w:rsidRPr="007B3BE0">
        <w:rPr>
          <w:rFonts w:ascii="Sylfaen" w:hAnsi="Sylfaen"/>
          <w:lang w:val="ka-GE"/>
        </w:rPr>
        <w:t>მიკროორგანიზმთა</w:t>
      </w:r>
      <w:proofErr w:type="spellEnd"/>
      <w:r w:rsidRPr="007B3BE0">
        <w:rPr>
          <w:rFonts w:ascii="Sylfaen" w:hAnsi="Sylfaen"/>
          <w:lang w:val="ka-GE"/>
        </w:rPr>
        <w:t xml:space="preserve"> დეპონირების საერთაშორისო აღიარების შესახებ ბუდაპეშტის ხელშეკრულება;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მცენარეთა ახალი ჯიშების დაცვის საერთაშორისო კონვენცია (UPOV-ის კონვენცია);</w:t>
      </w:r>
    </w:p>
    <w:p w:rsidR="00F02E0D" w:rsidRPr="007B3BE0" w:rsidRDefault="00F02E0D" w:rsidP="00F02E0D">
      <w:pPr>
        <w:numPr>
          <w:ilvl w:val="0"/>
          <w:numId w:val="3"/>
        </w:numPr>
        <w:spacing w:before="120" w:after="120" w:line="276" w:lineRule="auto"/>
        <w:jc w:val="both"/>
        <w:rPr>
          <w:rFonts w:ascii="Sylfaen" w:hAnsi="Sylfaen"/>
          <w:lang w:val="ka-GE"/>
        </w:rPr>
      </w:pPr>
      <w:r w:rsidRPr="007B3BE0">
        <w:rPr>
          <w:rFonts w:ascii="Sylfaen" w:hAnsi="Sylfaen"/>
          <w:lang w:val="ka-GE"/>
        </w:rPr>
        <w:t>ინტელექტუალური საკუთრების მსოფლიო ორგანიზაციის დამფუძნებელი კონვენცია.</w:t>
      </w:r>
    </w:p>
    <w:p w:rsidR="00F63C32" w:rsidRDefault="00ED01FC"/>
    <w:sectPr w:rsidR="00F63C3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01FC" w:rsidRDefault="00ED01FC">
      <w:pPr>
        <w:spacing w:after="0" w:line="240" w:lineRule="auto"/>
      </w:pPr>
      <w:r>
        <w:separator/>
      </w:r>
    </w:p>
  </w:endnote>
  <w:endnote w:type="continuationSeparator" w:id="0">
    <w:p w:rsidR="00ED01FC" w:rsidRDefault="00ED01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80624725"/>
      <w:docPartObj>
        <w:docPartGallery w:val="Page Numbers (Bottom of Page)"/>
        <w:docPartUnique/>
      </w:docPartObj>
    </w:sdtPr>
    <w:sdtEndPr>
      <w:rPr>
        <w:noProof/>
      </w:rPr>
    </w:sdtEndPr>
    <w:sdtContent>
      <w:p w:rsidR="00464A05" w:rsidRDefault="00F02E0D">
        <w:pPr>
          <w:pStyle w:val="Footer"/>
          <w:jc w:val="center"/>
        </w:pPr>
        <w:r>
          <w:fldChar w:fldCharType="begin"/>
        </w:r>
        <w:r>
          <w:instrText xml:space="preserve"> PAGE   \* MERGEFORMAT </w:instrText>
        </w:r>
        <w:r>
          <w:fldChar w:fldCharType="separate"/>
        </w:r>
        <w:r w:rsidR="00947D4C">
          <w:rPr>
            <w:noProof/>
          </w:rPr>
          <w:t>7</w:t>
        </w:r>
        <w:r>
          <w:rPr>
            <w:noProof/>
          </w:rPr>
          <w:fldChar w:fldCharType="end"/>
        </w:r>
      </w:p>
    </w:sdtContent>
  </w:sdt>
  <w:p w:rsidR="00464A05" w:rsidRDefault="00ED0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01FC" w:rsidRDefault="00ED01FC">
      <w:pPr>
        <w:spacing w:after="0" w:line="240" w:lineRule="auto"/>
      </w:pPr>
      <w:r>
        <w:separator/>
      </w:r>
    </w:p>
  </w:footnote>
  <w:footnote w:type="continuationSeparator" w:id="0">
    <w:p w:rsidR="00ED01FC" w:rsidRDefault="00ED01F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DA4CF0"/>
    <w:multiLevelType w:val="hybridMultilevel"/>
    <w:tmpl w:val="BA5AB666"/>
    <w:lvl w:ilvl="0" w:tplc="3106101A">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1B4119E"/>
    <w:multiLevelType w:val="hybridMultilevel"/>
    <w:tmpl w:val="FF449D0A"/>
    <w:lvl w:ilvl="0" w:tplc="3106101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EB6C67"/>
    <w:multiLevelType w:val="hybridMultilevel"/>
    <w:tmpl w:val="55EA6CE8"/>
    <w:lvl w:ilvl="0" w:tplc="6F7C5E7A">
      <w:start w:val="1"/>
      <w:numFmt w:val="bullet"/>
      <w:lvlText w:val=""/>
      <w:lvlJc w:val="left"/>
      <w:pPr>
        <w:ind w:left="360" w:hanging="360"/>
      </w:pPr>
      <w:rPr>
        <w:rFonts w:ascii="Symbol" w:hAnsi="Symbol"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2106"/>
    <w:rsid w:val="002A05BD"/>
    <w:rsid w:val="004D2106"/>
    <w:rsid w:val="00820505"/>
    <w:rsid w:val="00947D4C"/>
    <w:rsid w:val="00ED01FC"/>
    <w:rsid w:val="00F02E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E8054"/>
  <w15:chartTrackingRefBased/>
  <w15:docId w15:val="{8348C3C6-D0A7-428B-8901-06E71CC39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02E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F02E0D"/>
    <w:pPr>
      <w:spacing w:after="0" w:line="240" w:lineRule="auto"/>
    </w:pPr>
  </w:style>
  <w:style w:type="character" w:customStyle="1" w:styleId="NoSpacingChar">
    <w:name w:val="No Spacing Char"/>
    <w:basedOn w:val="DefaultParagraphFont"/>
    <w:link w:val="NoSpacing"/>
    <w:uiPriority w:val="1"/>
    <w:rsid w:val="00F02E0D"/>
  </w:style>
  <w:style w:type="paragraph" w:styleId="Footer">
    <w:name w:val="footer"/>
    <w:basedOn w:val="Normal"/>
    <w:link w:val="FooterChar"/>
    <w:uiPriority w:val="99"/>
    <w:unhideWhenUsed/>
    <w:rsid w:val="00F02E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2E0D"/>
  </w:style>
  <w:style w:type="table" w:styleId="TableGridLight">
    <w:name w:val="Grid Table Light"/>
    <w:basedOn w:val="TableNormal"/>
    <w:uiPriority w:val="40"/>
    <w:rsid w:val="00F02E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yperlink">
    <w:name w:val="Hyperlink"/>
    <w:basedOn w:val="DefaultParagraphFont"/>
    <w:uiPriority w:val="99"/>
    <w:unhideWhenUsed/>
    <w:rsid w:val="00F02E0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sne.gov.ge/ka/document/view/29962?publication=169" TargetMode="Externa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1261</Words>
  <Characters>7193</Characters>
  <Application>Microsoft Office Word</Application>
  <DocSecurity>0</DocSecurity>
  <Lines>59</Lines>
  <Paragraphs>16</Paragraphs>
  <ScaleCrop>false</ScaleCrop>
  <Company/>
  <LinksUpToDate>false</LinksUpToDate>
  <CharactersWithSpaces>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butkhuzi</dc:creator>
  <cp:keywords/>
  <dc:description/>
  <cp:lastModifiedBy>ana butkhuzi</cp:lastModifiedBy>
  <cp:revision>3</cp:revision>
  <dcterms:created xsi:type="dcterms:W3CDTF">2025-01-31T13:04:00Z</dcterms:created>
  <dcterms:modified xsi:type="dcterms:W3CDTF">2025-01-31T13:08:00Z</dcterms:modified>
</cp:coreProperties>
</file>