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241CBA" w14:textId="2C93F84D" w:rsidR="00476E5C" w:rsidRPr="00471758" w:rsidRDefault="00476E5C" w:rsidP="00476E5C">
      <w:pPr>
        <w:ind w:firstLine="360"/>
        <w:jc w:val="right"/>
        <w:rPr>
          <w:rFonts w:asciiTheme="majorHAnsi" w:hAnsiTheme="majorHAnsi" w:cs="Calibri"/>
          <w:b/>
        </w:rPr>
      </w:pPr>
      <w:r w:rsidRPr="00471758">
        <w:rPr>
          <w:rFonts w:asciiTheme="majorHAnsi" w:hAnsiTheme="majorHAnsi" w:cs="Calibri"/>
          <w:b/>
        </w:rPr>
        <w:t>დანართი</w:t>
      </w:r>
    </w:p>
    <w:p w14:paraId="4D47F190" w14:textId="5B78821B" w:rsidR="003A7EAA" w:rsidRPr="00471758" w:rsidRDefault="003A7EAA" w:rsidP="003A7EAA">
      <w:pPr>
        <w:ind w:firstLine="360"/>
        <w:jc w:val="center"/>
        <w:rPr>
          <w:rFonts w:asciiTheme="majorHAnsi" w:hAnsiTheme="majorHAnsi" w:cs="Calibri"/>
          <w:b/>
        </w:rPr>
      </w:pPr>
      <w:r w:rsidRPr="00471758">
        <w:rPr>
          <w:rFonts w:asciiTheme="majorHAnsi" w:hAnsiTheme="majorHAnsi" w:cs="Calibri"/>
          <w:b/>
        </w:rPr>
        <w:t>რისკების შეფასების განახლება</w:t>
      </w:r>
    </w:p>
    <w:p w14:paraId="5C0B069D" w14:textId="77777777" w:rsidR="003A7EAA" w:rsidRPr="0042384C" w:rsidRDefault="003A7EAA" w:rsidP="003A7EAA">
      <w:pPr>
        <w:rPr>
          <w:rFonts w:asciiTheme="majorHAnsi" w:hAnsiTheme="majorHAnsi" w:cs="Calibri"/>
        </w:rPr>
      </w:pPr>
    </w:p>
    <w:p w14:paraId="2E09A50E" w14:textId="77777777" w:rsidR="003A7EAA" w:rsidRPr="0042384C" w:rsidRDefault="003A7EAA" w:rsidP="003A7EAA">
      <w:pPr>
        <w:rPr>
          <w:rFonts w:asciiTheme="majorHAnsi" w:hAnsiTheme="majorHAnsi" w:cs="Calibri"/>
        </w:rPr>
      </w:pPr>
    </w:p>
    <w:p w14:paraId="045B8A64" w14:textId="52FCDC12" w:rsidR="003A7EAA" w:rsidRPr="0042384C" w:rsidRDefault="003A7EAA" w:rsidP="002571E9">
      <w:pPr>
        <w:ind w:firstLine="360"/>
        <w:jc w:val="both"/>
        <w:rPr>
          <w:rFonts w:asciiTheme="majorHAnsi" w:hAnsiTheme="majorHAnsi" w:cs="Calibri"/>
        </w:rPr>
      </w:pPr>
      <w:r w:rsidRPr="0042384C">
        <w:rPr>
          <w:rFonts w:asciiTheme="majorHAnsi" w:hAnsiTheme="majorHAnsi" w:cs="Calibri"/>
        </w:rPr>
        <w:t>20</w:t>
      </w:r>
      <w:r w:rsidR="00D60C9A" w:rsidRPr="0042384C">
        <w:rPr>
          <w:rFonts w:asciiTheme="majorHAnsi" w:hAnsiTheme="majorHAnsi" w:cs="Calibri"/>
        </w:rPr>
        <w:t>19 წელს საქართველომ განახორციელ</w:t>
      </w:r>
      <w:r w:rsidRPr="0042384C">
        <w:rPr>
          <w:rFonts w:asciiTheme="majorHAnsi" w:hAnsiTheme="majorHAnsi" w:cs="Calibri"/>
        </w:rPr>
        <w:t>ა ფულის გათეთრების და ტერორიზმის დაფინანსე</w:t>
      </w:r>
      <w:r w:rsidR="006B5F49" w:rsidRPr="0042384C">
        <w:rPr>
          <w:rFonts w:asciiTheme="majorHAnsi" w:hAnsiTheme="majorHAnsi" w:cs="Calibri"/>
        </w:rPr>
        <w:t xml:space="preserve">ბის რისკების შეფასება </w:t>
      </w:r>
      <w:bookmarkStart w:id="0" w:name="_GoBack"/>
      <w:bookmarkEnd w:id="0"/>
      <w:r w:rsidR="006B5F49" w:rsidRPr="0042384C">
        <w:rPr>
          <w:rFonts w:asciiTheme="majorHAnsi" w:hAnsiTheme="majorHAnsi" w:cs="Calibri"/>
        </w:rPr>
        <w:t>(შემდგომში − რისკების შეფასება</w:t>
      </w:r>
      <w:r w:rsidRPr="0042384C">
        <w:rPr>
          <w:rFonts w:asciiTheme="majorHAnsi" w:hAnsiTheme="majorHAnsi" w:cs="Calibri"/>
        </w:rPr>
        <w:t>), რომელიც დაამტკიცა საქართველოს მთავრობამ. მოგვიანებით, რისკების შეფასების განახლება განხორციელდა 2023 წელს საქართვე</w:t>
      </w:r>
      <w:r w:rsidR="002571E9" w:rsidRPr="0042384C">
        <w:rPr>
          <w:rFonts w:asciiTheme="majorHAnsi" w:hAnsiTheme="majorHAnsi" w:cs="Calibri"/>
        </w:rPr>
        <w:t>ლოს კანონმდებლობის შესაბამისად.</w:t>
      </w:r>
    </w:p>
    <w:p w14:paraId="049718CD" w14:textId="3AD9C354" w:rsidR="00746974" w:rsidRPr="0042384C" w:rsidRDefault="003A7EAA" w:rsidP="002571E9">
      <w:pPr>
        <w:ind w:firstLine="360"/>
        <w:jc w:val="both"/>
        <w:rPr>
          <w:rFonts w:asciiTheme="majorHAnsi" w:hAnsiTheme="majorHAnsi" w:cs="Calibri"/>
        </w:rPr>
      </w:pPr>
      <w:r w:rsidRPr="0042384C">
        <w:rPr>
          <w:rFonts w:asciiTheme="majorHAnsi" w:hAnsiTheme="majorHAnsi" w:cs="Calibri"/>
        </w:rPr>
        <w:t xml:space="preserve">2020 წელს საქართველოს თავსებადობა ფულის გათეთრებასა და ტერორიზმის დაფინანსებასთან ბრძოლის სფეროში საერთაშორისო სტანდარტებთან შეამოწმა ევროპის საბჭოს ფულის გათეთრებისა და ტერორიზმის დაფინანსების წინააღმდეგ მიმართულ ღონისძიებათა შემფასებელ რჩეულ ექსპერტთა კომიტეტმა (შემდგომ </w:t>
      </w:r>
      <w:r w:rsidR="0042384C" w:rsidRPr="0042384C">
        <w:rPr>
          <w:rFonts w:asciiTheme="majorHAnsi" w:hAnsiTheme="majorHAnsi" w:cs="Calibri"/>
        </w:rPr>
        <w:t>−</w:t>
      </w:r>
      <w:r w:rsidRPr="0042384C">
        <w:rPr>
          <w:rFonts w:asciiTheme="majorHAnsi" w:hAnsiTheme="majorHAnsi" w:cs="Calibri"/>
        </w:rPr>
        <w:t xml:space="preserve"> „MONEYVAL“). </w:t>
      </w:r>
    </w:p>
    <w:p w14:paraId="793629D6" w14:textId="37DDDBF3" w:rsidR="003A7EAA" w:rsidRPr="0042384C" w:rsidRDefault="003A7EAA" w:rsidP="002571E9">
      <w:pPr>
        <w:ind w:firstLine="360"/>
        <w:jc w:val="both"/>
        <w:rPr>
          <w:rFonts w:asciiTheme="majorHAnsi" w:hAnsiTheme="majorHAnsi" w:cs="Calibri"/>
        </w:rPr>
      </w:pPr>
      <w:r w:rsidRPr="0042384C">
        <w:rPr>
          <w:rFonts w:asciiTheme="majorHAnsi" w:hAnsiTheme="majorHAnsi" w:cs="Calibri"/>
        </w:rPr>
        <w:t xml:space="preserve">შეფასების შედეგად, MONEYVAL-მა მოამზადა ანგარიში, რომელშიც ხაზი გაუსვა იმ ფაქტს, რომ საქართველომ მნიშვნელოვანი ძალისხმევა გასწია მის წინაშე </w:t>
      </w:r>
      <w:r w:rsidR="002510ED" w:rsidRPr="0042384C">
        <w:rPr>
          <w:rFonts w:asciiTheme="majorHAnsi" w:hAnsiTheme="majorHAnsi" w:cs="Calibri"/>
        </w:rPr>
        <w:t>არსებული</w:t>
      </w:r>
      <w:r w:rsidRPr="0042384C">
        <w:rPr>
          <w:rFonts w:asciiTheme="majorHAnsi" w:hAnsiTheme="majorHAnsi" w:cs="Calibri"/>
        </w:rPr>
        <w:t xml:space="preserve"> საფრთხეებისა და მოწყვლადობები</w:t>
      </w:r>
      <w:r w:rsidR="002571E9" w:rsidRPr="0042384C">
        <w:rPr>
          <w:rFonts w:asciiTheme="majorHAnsi" w:hAnsiTheme="majorHAnsi" w:cs="Calibri"/>
        </w:rPr>
        <w:t xml:space="preserve">ს სიღრმისეული ანალიზის მიზნით. </w:t>
      </w:r>
    </w:p>
    <w:p w14:paraId="2DEFF705" w14:textId="34439BF0" w:rsidR="003A7EAA" w:rsidRPr="0042384C" w:rsidRDefault="003A7EAA" w:rsidP="003A7EAA">
      <w:pPr>
        <w:ind w:firstLine="360"/>
        <w:jc w:val="both"/>
        <w:rPr>
          <w:rFonts w:asciiTheme="majorHAnsi" w:hAnsiTheme="majorHAnsi" w:cs="Calibri"/>
        </w:rPr>
      </w:pPr>
      <w:r w:rsidRPr="0042384C">
        <w:rPr>
          <w:rFonts w:asciiTheme="majorHAnsi" w:hAnsiTheme="majorHAnsi" w:cs="Calibri"/>
        </w:rPr>
        <w:t xml:space="preserve">MONEYVAL-მა ასევე გამოავლინა გარკვეული ხარვეზები </w:t>
      </w:r>
      <w:r w:rsidR="002510ED" w:rsidRPr="0042384C">
        <w:rPr>
          <w:rFonts w:asciiTheme="majorHAnsi" w:hAnsiTheme="majorHAnsi" w:cs="Calibri"/>
        </w:rPr>
        <w:t>ცალკეული კონტექსტური ფაქტორების</w:t>
      </w:r>
      <w:r w:rsidR="00746974" w:rsidRPr="0042384C">
        <w:rPr>
          <w:rFonts w:asciiTheme="majorHAnsi" w:hAnsiTheme="majorHAnsi" w:cs="Calibri"/>
        </w:rPr>
        <w:t xml:space="preserve"> (არაფორმალური ეკონომიკა, პოლიტიკურად აქტიური პირები)</w:t>
      </w:r>
      <w:r w:rsidR="002510ED" w:rsidRPr="0042384C">
        <w:rPr>
          <w:rFonts w:asciiTheme="majorHAnsi" w:hAnsiTheme="majorHAnsi" w:cs="Calibri"/>
        </w:rPr>
        <w:t xml:space="preserve"> და ასევე, </w:t>
      </w:r>
      <w:r w:rsidRPr="0042384C">
        <w:rPr>
          <w:rFonts w:asciiTheme="majorHAnsi" w:hAnsiTheme="majorHAnsi" w:cs="Calibri"/>
        </w:rPr>
        <w:t>თავისუფალ ინდუსტრიულ ზონებ</w:t>
      </w:r>
      <w:r w:rsidR="00746974" w:rsidRPr="0042384C">
        <w:rPr>
          <w:rFonts w:asciiTheme="majorHAnsi" w:hAnsiTheme="majorHAnsi" w:cs="Calibri"/>
        </w:rPr>
        <w:t>ში</w:t>
      </w:r>
      <w:r w:rsidRPr="0042384C">
        <w:rPr>
          <w:rFonts w:asciiTheme="majorHAnsi" w:hAnsiTheme="majorHAnsi" w:cs="Calibri"/>
        </w:rPr>
        <w:t xml:space="preserve">, უძრავი </w:t>
      </w:r>
      <w:r w:rsidR="00746974" w:rsidRPr="0042384C">
        <w:rPr>
          <w:rFonts w:asciiTheme="majorHAnsi" w:hAnsiTheme="majorHAnsi" w:cs="Calibri"/>
        </w:rPr>
        <w:t xml:space="preserve">ქონების და ვირტუალური აქტივის მომსახურების სექტორებსა და ტერორიზმის დაფინანსების კუთხით </w:t>
      </w:r>
      <w:r w:rsidRPr="0042384C">
        <w:rPr>
          <w:rFonts w:asciiTheme="majorHAnsi" w:hAnsiTheme="majorHAnsi" w:cs="Calibri"/>
        </w:rPr>
        <w:t xml:space="preserve">არსებული რისკების ანალიზის </w:t>
      </w:r>
      <w:r w:rsidR="00746974" w:rsidRPr="0042384C">
        <w:rPr>
          <w:rFonts w:asciiTheme="majorHAnsi" w:hAnsiTheme="majorHAnsi" w:cs="Calibri"/>
        </w:rPr>
        <w:t xml:space="preserve">თვალსაზრისით. </w:t>
      </w:r>
      <w:r w:rsidR="002510ED" w:rsidRPr="0042384C">
        <w:rPr>
          <w:rFonts w:asciiTheme="majorHAnsi" w:hAnsiTheme="majorHAnsi" w:cs="Calibri"/>
        </w:rPr>
        <w:t>აქედან გამომდინარე</w:t>
      </w:r>
      <w:r w:rsidRPr="0042384C">
        <w:rPr>
          <w:rFonts w:asciiTheme="majorHAnsi" w:hAnsiTheme="majorHAnsi" w:cs="Calibri"/>
        </w:rPr>
        <w:t xml:space="preserve">, წინამდებარე ანალიზი მიზნად ისახავს სწორედ ამ ხარვეზების გამოსწორებას. </w:t>
      </w:r>
    </w:p>
    <w:p w14:paraId="69E45374" w14:textId="77777777" w:rsidR="003A7EAA" w:rsidRPr="0042384C" w:rsidRDefault="003A7EAA" w:rsidP="003A7EAA">
      <w:pPr>
        <w:rPr>
          <w:rFonts w:asciiTheme="majorHAnsi" w:hAnsiTheme="majorHAnsi" w:cs="Calibri"/>
        </w:rPr>
      </w:pPr>
    </w:p>
    <w:p w14:paraId="776284C5" w14:textId="77777777" w:rsidR="003A7EAA" w:rsidRPr="0042384C" w:rsidRDefault="003A7EAA" w:rsidP="003A7EAA">
      <w:pPr>
        <w:rPr>
          <w:rFonts w:asciiTheme="majorHAnsi" w:hAnsiTheme="majorHAnsi" w:cs="Calibri"/>
        </w:rPr>
      </w:pPr>
    </w:p>
    <w:p w14:paraId="198C6E88" w14:textId="3017692C" w:rsidR="00AB54D7" w:rsidRPr="0042384C" w:rsidRDefault="0042384C" w:rsidP="00AB54D7">
      <w:pPr>
        <w:jc w:val="center"/>
        <w:rPr>
          <w:rFonts w:asciiTheme="majorHAnsi" w:hAnsiTheme="majorHAnsi" w:cs="Calibri"/>
          <w:b/>
        </w:rPr>
      </w:pPr>
      <w:r w:rsidRPr="0042384C">
        <w:rPr>
          <w:rFonts w:asciiTheme="majorHAnsi" w:hAnsiTheme="majorHAnsi" w:cs="Calibri"/>
          <w:b/>
        </w:rPr>
        <w:t>კონტექსტური რისკ</w:t>
      </w:r>
      <w:r w:rsidR="00AB54D7" w:rsidRPr="0042384C">
        <w:rPr>
          <w:rFonts w:asciiTheme="majorHAnsi" w:hAnsiTheme="majorHAnsi" w:cs="Calibri"/>
          <w:b/>
        </w:rPr>
        <w:t>ფაქტორები</w:t>
      </w:r>
    </w:p>
    <w:p w14:paraId="3B791FB6" w14:textId="77777777" w:rsidR="00AB54D7" w:rsidRPr="0042384C" w:rsidRDefault="00AB54D7" w:rsidP="00AB54D7">
      <w:pPr>
        <w:rPr>
          <w:rFonts w:asciiTheme="majorHAnsi" w:hAnsiTheme="majorHAnsi" w:cs="Calibri"/>
        </w:rPr>
      </w:pPr>
    </w:p>
    <w:p w14:paraId="30C26DD2" w14:textId="77777777" w:rsidR="00AB54D7" w:rsidRPr="0042384C" w:rsidRDefault="00AB54D7" w:rsidP="00AB54D7">
      <w:pPr>
        <w:ind w:firstLine="360"/>
        <w:rPr>
          <w:rFonts w:asciiTheme="majorHAnsi" w:hAnsiTheme="majorHAnsi" w:cs="Calibri"/>
          <w:b/>
        </w:rPr>
      </w:pPr>
      <w:r w:rsidRPr="0042384C">
        <w:rPr>
          <w:rFonts w:asciiTheme="majorHAnsi" w:hAnsiTheme="majorHAnsi" w:cs="Calibri"/>
          <w:b/>
        </w:rPr>
        <w:t>1. არაფორმალური ეკონომიკა</w:t>
      </w:r>
    </w:p>
    <w:p w14:paraId="1170FFCA" w14:textId="34EED994" w:rsidR="00AB54D7" w:rsidRPr="0042384C" w:rsidRDefault="00AB54D7" w:rsidP="003E3540">
      <w:pPr>
        <w:ind w:firstLine="360"/>
        <w:jc w:val="both"/>
        <w:rPr>
          <w:rFonts w:asciiTheme="majorHAnsi" w:hAnsiTheme="majorHAnsi" w:cs="Calibri"/>
        </w:rPr>
      </w:pPr>
      <w:r w:rsidRPr="0042384C">
        <w:rPr>
          <w:rFonts w:asciiTheme="majorHAnsi" w:hAnsiTheme="majorHAnsi" w:cs="Calibri"/>
        </w:rPr>
        <w:t>არაფორმალური ეკონომიკა ფართო ცნებაა და როგორც წესი, მოიცავს ისეთი ტიპის ანაზღაურებად საქმიანობას (მაგ.</w:t>
      </w:r>
      <w:r w:rsidR="0042384C" w:rsidRPr="0042384C">
        <w:rPr>
          <w:rFonts w:asciiTheme="majorHAnsi" w:hAnsiTheme="majorHAnsi" w:cs="Calibri"/>
        </w:rPr>
        <w:t>,</w:t>
      </w:r>
      <w:r w:rsidRPr="0042384C">
        <w:rPr>
          <w:rFonts w:asciiTheme="majorHAnsi" w:hAnsiTheme="majorHAnsi" w:cs="Calibri"/>
        </w:rPr>
        <w:t xml:space="preserve"> წარმოება, საქონლით ან მომსახურებით ვაჭრობა), რომელიც არ აღირიცხება სახელმწიფოს მიერ საგადასახადო, შრომითი ან სხვა მიზნებისთვის ან დაფარულია, მაგრამ სხვა თვალსაზრისით კანონიერია და არ უკავშირდება დანაშაულებრივ საქმიანობას (მეგ.</w:t>
      </w:r>
      <w:r w:rsidR="0042384C" w:rsidRPr="0042384C">
        <w:rPr>
          <w:rFonts w:asciiTheme="majorHAnsi" w:hAnsiTheme="majorHAnsi" w:cs="Calibri"/>
        </w:rPr>
        <w:t>,</w:t>
      </w:r>
      <w:r w:rsidRPr="0042384C">
        <w:rPr>
          <w:rFonts w:asciiTheme="majorHAnsi" w:hAnsiTheme="majorHAnsi" w:cs="Calibri"/>
        </w:rPr>
        <w:t xml:space="preserve"> ნარკოტიკებით უკანონო ვაჭრობა).</w:t>
      </w:r>
    </w:p>
    <w:p w14:paraId="3711A839" w14:textId="6D4DD961" w:rsidR="00AB54D7" w:rsidRPr="0042384C" w:rsidRDefault="003E3540" w:rsidP="00AB54D7">
      <w:pPr>
        <w:ind w:firstLine="360"/>
        <w:jc w:val="both"/>
        <w:rPr>
          <w:rFonts w:asciiTheme="majorHAnsi" w:hAnsiTheme="majorHAnsi" w:cs="Calibri"/>
        </w:rPr>
      </w:pPr>
      <w:r w:rsidRPr="0042384C">
        <w:rPr>
          <w:rFonts w:asciiTheme="majorHAnsi" w:hAnsiTheme="majorHAnsi" w:cs="Calibri"/>
        </w:rPr>
        <w:t xml:space="preserve">სსიპ − </w:t>
      </w:r>
      <w:r w:rsidR="00AB54D7" w:rsidRPr="0042384C">
        <w:rPr>
          <w:rFonts w:asciiTheme="majorHAnsi" w:hAnsiTheme="majorHAnsi" w:cs="Calibri"/>
        </w:rPr>
        <w:t>საქართველოს სტატისტიკი</w:t>
      </w:r>
      <w:r w:rsidR="002423D8" w:rsidRPr="0042384C">
        <w:rPr>
          <w:rFonts w:asciiTheme="majorHAnsi" w:hAnsiTheme="majorHAnsi" w:cs="Calibri"/>
        </w:rPr>
        <w:t xml:space="preserve">ს ეროვნული სამსახური (შემდგომში </w:t>
      </w:r>
      <w:r w:rsidR="0042384C" w:rsidRPr="0042384C">
        <w:rPr>
          <w:rFonts w:asciiTheme="majorHAnsi" w:hAnsiTheme="majorHAnsi" w:cs="Calibri"/>
        </w:rPr>
        <w:t>−</w:t>
      </w:r>
      <w:r w:rsidR="002423D8" w:rsidRPr="0042384C">
        <w:rPr>
          <w:rFonts w:asciiTheme="majorHAnsi" w:hAnsiTheme="majorHAnsi" w:cs="Calibri"/>
        </w:rPr>
        <w:t xml:space="preserve"> საქსტატი</w:t>
      </w:r>
      <w:r w:rsidR="00AB54D7" w:rsidRPr="0042384C">
        <w:rPr>
          <w:rFonts w:asciiTheme="majorHAnsi" w:hAnsiTheme="majorHAnsi" w:cs="Calibri"/>
        </w:rPr>
        <w:t>) სწავლობს დაუკვირვებადი ეკონომიკის მოცულობას ეკონომიკის ცალკეულ</w:t>
      </w:r>
      <w:r w:rsidR="0042384C">
        <w:rPr>
          <w:rFonts w:asciiTheme="majorHAnsi" w:hAnsiTheme="majorHAnsi" w:cs="Calibri"/>
        </w:rPr>
        <w:t>ი</w:t>
      </w:r>
      <w:r w:rsidR="00AB54D7" w:rsidRPr="0042384C">
        <w:rPr>
          <w:rFonts w:asciiTheme="majorHAnsi" w:hAnsiTheme="majorHAnsi" w:cs="Calibri"/>
        </w:rPr>
        <w:t xml:space="preserve"> დარგების მიხედვით. დაუკვირვებადი ეკონომიკის განსაზღვრება არსებითად არაფორმალური ეკონომიკის ანალოგიად განიხილება. დაუკვირვებადი ეკონომიკის შეფასებისთვის საქსტატი შეისწავლის სტატისტიკური ინფორმაციის სტანდარტული წყაროებით მოუცველ საქმიანობას, პროდუქციას, შემოსავლებს, მოხმარებას და სხვა ეკონომიკურ ოპერაციებს სპეციალური მეთოდოლოგიის გამოყენებით.</w:t>
      </w:r>
    </w:p>
    <w:p w14:paraId="3B3F9891" w14:textId="4302074D" w:rsidR="00AB54D7" w:rsidRPr="0042384C" w:rsidRDefault="00AB54D7" w:rsidP="00AB54D7">
      <w:pPr>
        <w:ind w:firstLine="360"/>
        <w:jc w:val="both"/>
        <w:rPr>
          <w:rFonts w:asciiTheme="majorHAnsi" w:hAnsiTheme="majorHAnsi" w:cs="Calibri"/>
        </w:rPr>
      </w:pPr>
      <w:r w:rsidRPr="0042384C">
        <w:rPr>
          <w:rFonts w:asciiTheme="majorHAnsi" w:hAnsiTheme="majorHAnsi" w:cs="Calibri"/>
        </w:rPr>
        <w:t xml:space="preserve">საქსტატის 2023 წლის </w:t>
      </w:r>
      <w:r w:rsidR="00012C82" w:rsidRPr="0042384C">
        <w:rPr>
          <w:rFonts w:asciiTheme="majorHAnsi" w:hAnsiTheme="majorHAnsi" w:cs="Calibri"/>
        </w:rPr>
        <w:t>წინასწარი</w:t>
      </w:r>
      <w:r w:rsidRPr="0042384C">
        <w:rPr>
          <w:rFonts w:asciiTheme="majorHAnsi" w:hAnsiTheme="majorHAnsi" w:cs="Calibri"/>
        </w:rPr>
        <w:t xml:space="preserve"> მონაცემებით, დაუკვირვებადი ეკონომიკის წილმა საქართველოს მთლიან შიდა პროდუქტში შეადინა 12.</w:t>
      </w:r>
      <w:r w:rsidR="00526113" w:rsidRPr="0042384C">
        <w:rPr>
          <w:rFonts w:asciiTheme="majorHAnsi" w:hAnsiTheme="majorHAnsi" w:cs="Calibri"/>
        </w:rPr>
        <w:t>7</w:t>
      </w:r>
      <w:r w:rsidRPr="0042384C">
        <w:rPr>
          <w:rFonts w:asciiTheme="majorHAnsi" w:hAnsiTheme="majorHAnsi" w:cs="Calibri"/>
        </w:rPr>
        <w:t xml:space="preserve">4%, რაც 2022 წელთან </w:t>
      </w:r>
      <w:r w:rsidRPr="0042384C">
        <w:rPr>
          <w:rFonts w:asciiTheme="majorHAnsi" w:hAnsiTheme="majorHAnsi" w:cs="Calibri"/>
        </w:rPr>
        <w:lastRenderedPageBreak/>
        <w:t>შედარებით, 0.</w:t>
      </w:r>
      <w:r w:rsidR="00526113" w:rsidRPr="0042384C">
        <w:rPr>
          <w:rFonts w:asciiTheme="majorHAnsi" w:hAnsiTheme="majorHAnsi" w:cs="Calibri"/>
        </w:rPr>
        <w:t>4</w:t>
      </w:r>
      <w:r w:rsidRPr="0042384C">
        <w:rPr>
          <w:rFonts w:asciiTheme="majorHAnsi" w:hAnsiTheme="majorHAnsi" w:cs="Calibri"/>
        </w:rPr>
        <w:t xml:space="preserve">%-ით მცირეა. ბოლო წლებში სტაბილურად მცირდება დაუკვირვებადი ეკონომიკის წილი, ხოლო 2023 წელს ეს მონაცემი ყველაზე დაბალ ნიშნულზეა. ღირებულების მხრივ, დაუკვირვებად ეკონომიკაში ყველა დიდი წილი </w:t>
      </w:r>
      <w:r w:rsidR="00526113" w:rsidRPr="0042384C">
        <w:rPr>
          <w:rFonts w:asciiTheme="majorHAnsi" w:hAnsiTheme="majorHAnsi" w:cs="Calibri"/>
        </w:rPr>
        <w:t xml:space="preserve">ვაჭრობის, სასტუმროების და რესტორნების, </w:t>
      </w:r>
      <w:r w:rsidRPr="0042384C">
        <w:rPr>
          <w:rFonts w:asciiTheme="majorHAnsi" w:hAnsiTheme="majorHAnsi" w:cs="Calibri"/>
        </w:rPr>
        <w:t>დამამუშავებელ</w:t>
      </w:r>
      <w:r w:rsidR="00526113" w:rsidRPr="0042384C">
        <w:rPr>
          <w:rFonts w:asciiTheme="majorHAnsi" w:hAnsiTheme="majorHAnsi" w:cs="Calibri"/>
        </w:rPr>
        <w:t>ი</w:t>
      </w:r>
      <w:r w:rsidRPr="0042384C">
        <w:rPr>
          <w:rFonts w:asciiTheme="majorHAnsi" w:hAnsiTheme="majorHAnsi" w:cs="Calibri"/>
        </w:rPr>
        <w:t xml:space="preserve"> მრეწველობ</w:t>
      </w:r>
      <w:r w:rsidR="00526113" w:rsidRPr="0042384C">
        <w:rPr>
          <w:rFonts w:asciiTheme="majorHAnsi" w:hAnsiTheme="majorHAnsi" w:cs="Calibri"/>
        </w:rPr>
        <w:t>ი</w:t>
      </w:r>
      <w:r w:rsidRPr="0042384C">
        <w:rPr>
          <w:rFonts w:asciiTheme="majorHAnsi" w:hAnsiTheme="majorHAnsi" w:cs="Calibri"/>
        </w:rPr>
        <w:t xml:space="preserve">სა და სოფლის მეურნეობის სექტორებზე მოდის. </w:t>
      </w:r>
    </w:p>
    <w:p w14:paraId="7A94E130" w14:textId="38A156A6" w:rsidR="00AB54D7" w:rsidRPr="0042384C" w:rsidRDefault="00AB54D7" w:rsidP="00AB54D7">
      <w:pPr>
        <w:ind w:firstLine="360"/>
        <w:jc w:val="both"/>
        <w:rPr>
          <w:rFonts w:asciiTheme="majorHAnsi" w:hAnsiTheme="majorHAnsi" w:cs="Calibri"/>
        </w:rPr>
      </w:pPr>
      <w:r w:rsidRPr="0042384C">
        <w:rPr>
          <w:rFonts w:asciiTheme="majorHAnsi" w:hAnsiTheme="majorHAnsi" w:cs="Calibri"/>
        </w:rPr>
        <w:t>დაუკვირვებადი ეკონომიკის შემცირებას ძირითადად განაპირობებს წლების მა</w:t>
      </w:r>
      <w:r w:rsidR="00E96F2D" w:rsidRPr="0042384C">
        <w:rPr>
          <w:rFonts w:asciiTheme="majorHAnsi" w:hAnsiTheme="majorHAnsi" w:cs="Calibri"/>
        </w:rPr>
        <w:t>ნ</w:t>
      </w:r>
      <w:r w:rsidRPr="0042384C">
        <w:rPr>
          <w:rFonts w:asciiTheme="majorHAnsi" w:hAnsiTheme="majorHAnsi" w:cs="Calibri"/>
        </w:rPr>
        <w:t>ძილზე საქართველოში მიმდინარე საგადასახადო რეფორმები. საერთაშ</w:t>
      </w:r>
      <w:r w:rsidR="006B5F49" w:rsidRPr="0042384C">
        <w:rPr>
          <w:rFonts w:asciiTheme="majorHAnsi" w:hAnsiTheme="majorHAnsi" w:cs="Calibri"/>
        </w:rPr>
        <w:t>ორისო სავალუტო ფონდის (შემდგომ −</w:t>
      </w:r>
      <w:r w:rsidRPr="0042384C">
        <w:rPr>
          <w:rFonts w:asciiTheme="majorHAnsi" w:hAnsiTheme="majorHAnsi" w:cs="Calibri"/>
        </w:rPr>
        <w:t xml:space="preserve"> „IMF“) შეფასებით, მსოფლიოში ერთ-ერთი ყველაზე წარმატებული საგადასახადო რეფორმა სწორედ საქართველოში განხორციელდა</w:t>
      </w:r>
      <w:r w:rsidRPr="0042384C">
        <w:rPr>
          <w:rFonts w:asciiTheme="majorHAnsi" w:hAnsiTheme="majorHAnsi" w:cs="Calibri"/>
          <w:vertAlign w:val="superscript"/>
        </w:rPr>
        <w:footnoteReference w:id="1"/>
      </w:r>
      <w:r w:rsidRPr="0042384C">
        <w:rPr>
          <w:rFonts w:asciiTheme="majorHAnsi" w:hAnsiTheme="majorHAnsi" w:cs="Calibri"/>
        </w:rPr>
        <w:t>. რეფორმის არსი გულისხმობდა გადასახადების კომპლექსურობის, რაოდენობისა და განაკვეთე</w:t>
      </w:r>
      <w:r w:rsidR="0042384C">
        <w:rPr>
          <w:rFonts w:asciiTheme="majorHAnsi" w:hAnsiTheme="majorHAnsi" w:cs="Calibri"/>
        </w:rPr>
        <w:t>ბის არსებით შემცირებასთან ერთად</w:t>
      </w:r>
      <w:r w:rsidRPr="0042384C">
        <w:rPr>
          <w:rFonts w:asciiTheme="majorHAnsi" w:hAnsiTheme="majorHAnsi" w:cs="Calibri"/>
        </w:rPr>
        <w:t xml:space="preserve"> გადასახადების ადმინისტრირების გაუმჯ</w:t>
      </w:r>
      <w:r w:rsidR="00437A4B" w:rsidRPr="0042384C">
        <w:rPr>
          <w:rFonts w:asciiTheme="majorHAnsi" w:hAnsiTheme="majorHAnsi" w:cs="Calibri"/>
        </w:rPr>
        <w:t>ო</w:t>
      </w:r>
      <w:r w:rsidRPr="0042384C">
        <w:rPr>
          <w:rFonts w:asciiTheme="majorHAnsi" w:hAnsiTheme="majorHAnsi" w:cs="Calibri"/>
        </w:rPr>
        <w:t>ბესებას, რამაც განაპირობა ფორმალური ეკონომიკის ზრდა. საქართველოს ფინანსთა სამინისტროს შემო</w:t>
      </w:r>
      <w:r w:rsidR="006B5F49" w:rsidRPr="0042384C">
        <w:rPr>
          <w:rFonts w:asciiTheme="majorHAnsi" w:hAnsiTheme="majorHAnsi" w:cs="Calibri"/>
        </w:rPr>
        <w:t>სავლების სამსახური (შემდგომში − შემოსავლების სამსახური</w:t>
      </w:r>
      <w:r w:rsidRPr="0042384C">
        <w:rPr>
          <w:rFonts w:asciiTheme="majorHAnsi" w:hAnsiTheme="majorHAnsi" w:cs="Calibri"/>
        </w:rPr>
        <w:t>) არ აფასებს ქვეყანაში გადასახადისთვის თ</w:t>
      </w:r>
      <w:r w:rsidR="008B31DA" w:rsidRPr="0042384C">
        <w:rPr>
          <w:rFonts w:asciiTheme="majorHAnsi" w:hAnsiTheme="majorHAnsi" w:cs="Calibri"/>
        </w:rPr>
        <w:t>ავის არიდების სავარაუდო მასშტაბ</w:t>
      </w:r>
      <w:r w:rsidRPr="0042384C">
        <w:rPr>
          <w:rFonts w:asciiTheme="majorHAnsi" w:hAnsiTheme="majorHAnsi" w:cs="Calibri"/>
        </w:rPr>
        <w:t>ს. თუმცა, ბოლო წლებში გადასახადების ამოღების მაჩვენებელი ქვეყნის ეკონომიკაზე ჩქარა იზრდება, რაც საგადასახადო დანაკარგების თანდათანობით შემცირებაზე მიუთითებს.</w:t>
      </w:r>
    </w:p>
    <w:p w14:paraId="58982EA2" w14:textId="40969E48" w:rsidR="00AB54D7" w:rsidRPr="0042384C" w:rsidRDefault="00AB54D7" w:rsidP="003F7CDA">
      <w:pPr>
        <w:ind w:firstLine="360"/>
        <w:jc w:val="both"/>
        <w:rPr>
          <w:rFonts w:asciiTheme="majorHAnsi" w:hAnsiTheme="majorHAnsi" w:cs="Calibri"/>
        </w:rPr>
      </w:pPr>
      <w:r w:rsidRPr="0042384C">
        <w:rPr>
          <w:rFonts w:asciiTheme="majorHAnsi" w:hAnsiTheme="majorHAnsi" w:cs="Calibri"/>
        </w:rPr>
        <w:t>შემცირების ტენდენციის მიუხედავად, დაუკვირვებადი ეკონომიკის ამჟამინდელი მოცულობა განიხილება როგორც არსებითი. დაუკვირვებად ეკონომიკას ხელს უწყობს საქართველოში ნაღდი ფულის ფართო მიმოქცევა. ზუსტი მონაცემები არ მოიპოვება, მომსახურებისა და საქონლის შეძენის მიზნით, ნაღდი ფულის გამოყენების და უნაღდო ანგარიშსწორებასთან მ</w:t>
      </w:r>
      <w:r w:rsidR="0042384C">
        <w:rPr>
          <w:rFonts w:asciiTheme="majorHAnsi" w:hAnsiTheme="majorHAnsi" w:cs="Calibri"/>
        </w:rPr>
        <w:t>ისი თანაფარდობის თაობაზე. თუმცა</w:t>
      </w:r>
      <w:r w:rsidRPr="0042384C">
        <w:rPr>
          <w:rFonts w:asciiTheme="majorHAnsi" w:hAnsiTheme="majorHAnsi" w:cs="Calibri"/>
        </w:rPr>
        <w:t xml:space="preserve"> საქართველოს ეროვნული ბანკის (შემდგომ</w:t>
      </w:r>
      <w:r w:rsidR="006B5F49" w:rsidRPr="0042384C">
        <w:rPr>
          <w:rFonts w:asciiTheme="majorHAnsi" w:hAnsiTheme="majorHAnsi" w:cs="Calibri"/>
        </w:rPr>
        <w:t>ში − სებ</w:t>
      </w:r>
      <w:r w:rsidRPr="0042384C">
        <w:rPr>
          <w:rFonts w:asciiTheme="majorHAnsi" w:hAnsiTheme="majorHAnsi" w:cs="Calibri"/>
        </w:rPr>
        <w:t xml:space="preserve">) მონაცემებით, 2020 წელთან შედარებით, 2023 წელს სავაჭრო და მომსახურების ობიექტებში ქართული ბანკების მიერ გამოშვებული საგადახდო ბარათებით შესრულებული ოპერაციების </w:t>
      </w:r>
      <w:r w:rsidR="0042384C">
        <w:rPr>
          <w:rFonts w:asciiTheme="majorHAnsi" w:hAnsiTheme="majorHAnsi" w:cs="Calibri"/>
        </w:rPr>
        <w:t>ღირებულება გაორმაგდა და 72 მლრდ ლარს (დაახლ. 27 მლრდ</w:t>
      </w:r>
      <w:r w:rsidRPr="0042384C">
        <w:rPr>
          <w:rFonts w:asciiTheme="majorHAnsi" w:hAnsiTheme="majorHAnsi" w:cs="Calibri"/>
        </w:rPr>
        <w:t xml:space="preserve"> აშშ დოლარი) გადააჭარბა. ასევე, სტაბილურად იზრდება საქართველოს მოსახლეობის რაოდენობა, რომლებსაც გახსნილი აქვთ საბანკო ანგარიშები. აღნიშნული მონაცემები არაპირდაპირი ინდიკატორია, რომ საქართველოში ნაღდი ფულის მიმოქცევის წილი ჯამში მცირდება.</w:t>
      </w:r>
    </w:p>
    <w:p w14:paraId="3952E275" w14:textId="425D92A3" w:rsidR="00F6442B" w:rsidRPr="0042384C" w:rsidRDefault="00F6442B" w:rsidP="00F6442B">
      <w:pPr>
        <w:ind w:firstLine="360"/>
        <w:jc w:val="both"/>
        <w:rPr>
          <w:rFonts w:asciiTheme="majorHAnsi" w:hAnsiTheme="majorHAnsi" w:cs="Calibri"/>
        </w:rPr>
      </w:pPr>
      <w:r w:rsidRPr="0042384C">
        <w:rPr>
          <w:rFonts w:asciiTheme="majorHAnsi" w:hAnsiTheme="majorHAnsi" w:cs="Calibri"/>
        </w:rPr>
        <w:t>„ფულის გათეთრებისა და ტერორიზმის დაფინანსების აღკვეთის ხელშეწყობის შესახებ“ საქართველოს კანონის მიხედვით, საქართველოს საბაჟო საზღვარზე ნაღდი ფულის ან ფასიანი ქაღალდების გადამაადგილებელი ან/და გამგზავნი/მიმღები პირ</w:t>
      </w:r>
      <w:r w:rsidR="003E3540" w:rsidRPr="0042384C">
        <w:rPr>
          <w:rFonts w:asciiTheme="majorHAnsi" w:hAnsiTheme="majorHAnsi" w:cs="Calibri"/>
        </w:rPr>
        <w:t xml:space="preserve">ები ექვემდებარებიან საქართველოს </w:t>
      </w:r>
      <w:r w:rsidRPr="0042384C">
        <w:rPr>
          <w:rFonts w:asciiTheme="majorHAnsi" w:hAnsiTheme="majorHAnsi" w:cs="Calibri"/>
        </w:rPr>
        <w:t xml:space="preserve">ფინანსთა სამინისტროს მმართველობის სფეროში შემავალი საჯარო სამართლის იურიდიული პირის − შემოსავლების სამსახურის მიერ იდენტიფიკაციას, თუ ნაღდი ფულის ოდენობა ან ფასიანი ქაღალდების ღირებულება 30 000 ლარს ან უცხოურ ვალუტაში 30 000 ლარის ეკვივალენტს აღემატება. აღნიშნული პრევენციული ღონისძიებების განხორციელების შესრულების ხელშეწყობის უზრუნველსაყოფად, საქართველოს საბაჟო საზღვარზე გადაადგილებული ნაღდი ფული (ეროვნული ან/და უცხოური ვალუტა), ჩეკები ან/და სხვა ფასიანი ქაღალდი, </w:t>
      </w:r>
      <w:r w:rsidRPr="0042384C">
        <w:rPr>
          <w:rFonts w:asciiTheme="majorHAnsi" w:hAnsiTheme="majorHAnsi" w:cs="Calibri"/>
        </w:rPr>
        <w:lastRenderedPageBreak/>
        <w:t xml:space="preserve">თუ მათი ჯამური ოდენობა აღემატება 30 000 ლარს ან მის ეკვივალენტს სხვა ვალუტაში, ექვემდებარება სავალდებულო დეკლარირებას. </w:t>
      </w:r>
    </w:p>
    <w:p w14:paraId="39B2E97C" w14:textId="405EE7BF" w:rsidR="0071304E" w:rsidRPr="0042384C" w:rsidRDefault="00F6442B" w:rsidP="003F7CDA">
      <w:pPr>
        <w:ind w:firstLine="360"/>
        <w:jc w:val="both"/>
        <w:rPr>
          <w:rFonts w:asciiTheme="majorHAnsi" w:hAnsiTheme="majorHAnsi" w:cs="Calibri"/>
        </w:rPr>
      </w:pPr>
      <w:r w:rsidRPr="0042384C">
        <w:rPr>
          <w:rFonts w:asciiTheme="majorHAnsi" w:hAnsiTheme="majorHAnsi" w:cs="Calibri"/>
        </w:rPr>
        <w:t>იმ შემთხვევაში, თუ ნაღდი ფულის, ჩეკების ან/და სხვა ფასიან</w:t>
      </w:r>
      <w:r w:rsidR="0042384C">
        <w:rPr>
          <w:rFonts w:asciiTheme="majorHAnsi" w:hAnsiTheme="majorHAnsi" w:cs="Calibri"/>
        </w:rPr>
        <w:t>ი</w:t>
      </w:r>
      <w:r w:rsidRPr="0042384C">
        <w:rPr>
          <w:rFonts w:asciiTheme="majorHAnsi" w:hAnsiTheme="majorHAnsi" w:cs="Calibri"/>
        </w:rPr>
        <w:t xml:space="preserve"> ქაღალდის გადატანა ხორციელდება იურიდიული პირების/ორგანიზაციების მიერ, სავალდებულოა საქართველოს საბაჟო საზღვარზე გადაადგილებულ ნაღდ ფულზე (ეროვნული ან/და უცხოური ვალუტა), ჩეკებზე ან/და სხვა ფასიან ქაღალდებზე (რომელთა ჯამური ოდენობა აღემატება 30 000 ლარს ან მის ეკვივალენტს სხვა ვალუტაში) დამატებით წარდგენილ იქნეს წარმომავლობისა და მიზნობრიობის დამადასტურებელი დოკუმენტი. ხოლო, თუ ნაღდი ფულის, ჩეკების ან/და სხვა ფასიან</w:t>
      </w:r>
      <w:r w:rsidR="0042384C">
        <w:rPr>
          <w:rFonts w:asciiTheme="majorHAnsi" w:hAnsiTheme="majorHAnsi" w:cs="Calibri"/>
        </w:rPr>
        <w:t>ი</w:t>
      </w:r>
      <w:r w:rsidRPr="0042384C">
        <w:rPr>
          <w:rFonts w:asciiTheme="majorHAnsi" w:hAnsiTheme="majorHAnsi" w:cs="Calibri"/>
        </w:rPr>
        <w:t xml:space="preserve"> ქაღალდის საქართველოს საბაჟო საზღვარზე გადაადგილება ხორციელდება ფიზიკური პირის (მიუხედავად მისი მოქალაქეობისა) მიერ ფიზიკური პირის საბაჟო დეკლარაციის სპეციალურ გრაფებში ასახულ უნდა იქნეს ინფორმაცია თანხის ოდენობის, საქონლის მესაკუთრის/მიმღების, ვალუტის/ფასიანი ქაღალდის სახეობის, ასევე საქონლის წარმომავლობისა და მიზნობრიობის შესახებ.</w:t>
      </w:r>
    </w:p>
    <w:p w14:paraId="57334136" w14:textId="5FE60ECB" w:rsidR="00A65707" w:rsidRPr="0042384C" w:rsidRDefault="00A65707" w:rsidP="00A65707">
      <w:pPr>
        <w:spacing w:line="256" w:lineRule="auto"/>
        <w:ind w:firstLine="720"/>
        <w:jc w:val="both"/>
        <w:rPr>
          <w:rFonts w:asciiTheme="majorHAnsi" w:eastAsia="Calibri" w:hAnsiTheme="majorHAnsi"/>
          <w:lang w:eastAsia="en-US"/>
        </w:rPr>
      </w:pPr>
      <w:r w:rsidRPr="0042384C">
        <w:rPr>
          <w:rFonts w:asciiTheme="majorHAnsi" w:eastAsia="Calibri" w:hAnsiTheme="majorHAnsi"/>
          <w:lang w:eastAsia="en-US"/>
        </w:rPr>
        <w:t xml:space="preserve">საქართველოს საბაჟო საზღვარზე გადაადგილებულ იქნა </w:t>
      </w:r>
      <w:r w:rsidRPr="0042384C">
        <w:rPr>
          <w:rFonts w:asciiTheme="majorHAnsi" w:eastAsia="Calibri" w:hAnsiTheme="majorHAnsi"/>
          <w:b/>
          <w:lang w:eastAsia="en-US"/>
        </w:rPr>
        <w:t>2 216 202 767.51</w:t>
      </w:r>
      <w:r w:rsidRPr="0042384C">
        <w:rPr>
          <w:rFonts w:asciiTheme="majorHAnsi" w:eastAsia="Calibri" w:hAnsiTheme="majorHAnsi"/>
          <w:lang w:eastAsia="en-US"/>
        </w:rPr>
        <w:t xml:space="preserve"> ლარის ეკვივალენტის ოდენობის ნაღდი ფული (ეროვნული და უცხოური ვალუტა), რომელიც საბაჟო ფორმალობების (გატანა/შემოტანა) და წლების მიხედვით მოცემულია ცხრილში. </w:t>
      </w:r>
    </w:p>
    <w:p w14:paraId="6A9B8C0A" w14:textId="6B58016E" w:rsidR="00A65707" w:rsidRPr="0042384C" w:rsidRDefault="00A65707" w:rsidP="00A65707">
      <w:pPr>
        <w:spacing w:line="256" w:lineRule="auto"/>
        <w:jc w:val="both"/>
        <w:rPr>
          <w:rFonts w:asciiTheme="majorHAnsi" w:eastAsia="Calibri" w:hAnsiTheme="majorHAnsi"/>
          <w:lang w:eastAsia="en-US"/>
        </w:rPr>
      </w:pPr>
    </w:p>
    <w:tbl>
      <w:tblPr>
        <w:tblW w:w="11528" w:type="dxa"/>
        <w:jc w:val="cente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firstRow="1" w:lastRow="0" w:firstColumn="1" w:lastColumn="0" w:noHBand="0" w:noVBand="1"/>
      </w:tblPr>
      <w:tblGrid>
        <w:gridCol w:w="1340"/>
        <w:gridCol w:w="1000"/>
        <w:gridCol w:w="1532"/>
        <w:gridCol w:w="1218"/>
        <w:gridCol w:w="1532"/>
        <w:gridCol w:w="1478"/>
        <w:gridCol w:w="1710"/>
        <w:gridCol w:w="1718"/>
      </w:tblGrid>
      <w:tr w:rsidR="00C20B5C" w:rsidRPr="0042384C" w14:paraId="27AFDCC2" w14:textId="77777777" w:rsidTr="002D2E90">
        <w:trPr>
          <w:trHeight w:val="377"/>
          <w:jc w:val="center"/>
        </w:trPr>
        <w:tc>
          <w:tcPr>
            <w:tcW w:w="11528" w:type="dxa"/>
            <w:gridSpan w:val="8"/>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BDD6EE" w:themeFill="accent1" w:themeFillTint="66"/>
            <w:vAlign w:val="center"/>
            <w:hideMark/>
          </w:tcPr>
          <w:p w14:paraId="0526419D" w14:textId="77777777" w:rsidR="00A65707" w:rsidRPr="0042384C" w:rsidRDefault="00A65707" w:rsidP="00A65707">
            <w:pPr>
              <w:jc w:val="center"/>
              <w:rPr>
                <w:rFonts w:asciiTheme="majorHAnsi" w:hAnsiTheme="majorHAnsi" w:cs="Calibri"/>
                <w:b/>
                <w:sz w:val="16"/>
                <w:szCs w:val="16"/>
                <w:lang w:eastAsia="en-US"/>
              </w:rPr>
            </w:pPr>
            <w:r w:rsidRPr="0042384C">
              <w:rPr>
                <w:rFonts w:asciiTheme="majorHAnsi" w:hAnsiTheme="majorHAnsi" w:cs="Calibri"/>
                <w:b/>
                <w:sz w:val="16"/>
                <w:szCs w:val="16"/>
                <w:lang w:eastAsia="en-US"/>
              </w:rPr>
              <w:t>ტოპ 6 ვალუტებში გადაადგილებული ნადღი ფულის შესახებ</w:t>
            </w:r>
          </w:p>
        </w:tc>
      </w:tr>
      <w:tr w:rsidR="00523D0E" w:rsidRPr="0042384C" w14:paraId="21A790C5" w14:textId="77777777" w:rsidTr="002D2E90">
        <w:trPr>
          <w:trHeight w:val="20"/>
          <w:jc w:val="center"/>
        </w:trPr>
        <w:tc>
          <w:tcPr>
            <w:tcW w:w="1340" w:type="dxa"/>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BDD6EE" w:themeFill="accent1" w:themeFillTint="66"/>
            <w:vAlign w:val="center"/>
            <w:hideMark/>
          </w:tcPr>
          <w:p w14:paraId="20B4C536" w14:textId="77777777" w:rsidR="00A65707" w:rsidRPr="0042384C" w:rsidRDefault="00A65707" w:rsidP="00A65707">
            <w:pPr>
              <w:jc w:val="center"/>
              <w:rPr>
                <w:rFonts w:asciiTheme="majorHAnsi" w:hAnsiTheme="majorHAnsi" w:cs="Calibri"/>
                <w:b/>
                <w:sz w:val="16"/>
                <w:szCs w:val="16"/>
                <w:lang w:eastAsia="en-US"/>
              </w:rPr>
            </w:pPr>
            <w:r w:rsidRPr="0042384C">
              <w:rPr>
                <w:rFonts w:asciiTheme="majorHAnsi" w:hAnsiTheme="majorHAnsi" w:cs="Calibri"/>
                <w:b/>
                <w:sz w:val="16"/>
                <w:szCs w:val="16"/>
                <w:lang w:eastAsia="en-US"/>
              </w:rPr>
              <w:t>საბაჟო</w:t>
            </w:r>
          </w:p>
          <w:p w14:paraId="51FE6E13" w14:textId="77777777" w:rsidR="00A65707" w:rsidRPr="0042384C" w:rsidRDefault="00A65707" w:rsidP="00A65707">
            <w:pPr>
              <w:jc w:val="center"/>
              <w:rPr>
                <w:rFonts w:asciiTheme="majorHAnsi" w:hAnsiTheme="majorHAnsi" w:cs="Calibri"/>
                <w:sz w:val="16"/>
                <w:szCs w:val="16"/>
                <w:lang w:eastAsia="en-US"/>
              </w:rPr>
            </w:pPr>
            <w:r w:rsidRPr="0042384C">
              <w:rPr>
                <w:rFonts w:asciiTheme="majorHAnsi" w:hAnsiTheme="majorHAnsi" w:cs="Calibri"/>
                <w:b/>
                <w:sz w:val="16"/>
                <w:szCs w:val="16"/>
                <w:lang w:eastAsia="en-US"/>
              </w:rPr>
              <w:t>ფორმალობა</w:t>
            </w:r>
          </w:p>
        </w:tc>
        <w:tc>
          <w:tcPr>
            <w:tcW w:w="1000" w:type="dxa"/>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BDD6EE" w:themeFill="accent1" w:themeFillTint="66"/>
            <w:vAlign w:val="center"/>
            <w:hideMark/>
          </w:tcPr>
          <w:p w14:paraId="28D1B75B" w14:textId="77777777" w:rsidR="00A65707" w:rsidRPr="0042384C" w:rsidRDefault="00A65707" w:rsidP="00A65707">
            <w:pPr>
              <w:jc w:val="center"/>
              <w:rPr>
                <w:rFonts w:asciiTheme="majorHAnsi" w:hAnsiTheme="majorHAnsi" w:cs="Calibri"/>
                <w:b/>
                <w:sz w:val="16"/>
                <w:szCs w:val="16"/>
                <w:lang w:eastAsia="en-US"/>
              </w:rPr>
            </w:pPr>
            <w:r w:rsidRPr="0042384C">
              <w:rPr>
                <w:rFonts w:asciiTheme="majorHAnsi" w:hAnsiTheme="majorHAnsi" w:cs="Calibri"/>
                <w:b/>
                <w:sz w:val="16"/>
                <w:szCs w:val="16"/>
                <w:lang w:eastAsia="en-US"/>
              </w:rPr>
              <w:t>ვალუტა</w:t>
            </w:r>
          </w:p>
        </w:tc>
        <w:tc>
          <w:tcPr>
            <w:tcW w:w="2750" w:type="dxa"/>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BDD6EE" w:themeFill="accent1" w:themeFillTint="66"/>
            <w:vAlign w:val="center"/>
            <w:hideMark/>
          </w:tcPr>
          <w:p w14:paraId="1073D97B" w14:textId="77777777" w:rsidR="00A65707" w:rsidRPr="0042384C" w:rsidRDefault="00A65707" w:rsidP="00A65707">
            <w:pPr>
              <w:jc w:val="center"/>
              <w:rPr>
                <w:rFonts w:asciiTheme="majorHAnsi" w:hAnsiTheme="majorHAnsi" w:cs="Calibri"/>
                <w:b/>
                <w:sz w:val="16"/>
                <w:szCs w:val="16"/>
                <w:lang w:eastAsia="en-US"/>
              </w:rPr>
            </w:pPr>
            <w:r w:rsidRPr="0042384C">
              <w:rPr>
                <w:rFonts w:asciiTheme="majorHAnsi" w:hAnsiTheme="majorHAnsi" w:cs="Calibri"/>
                <w:b/>
                <w:sz w:val="16"/>
                <w:szCs w:val="16"/>
                <w:lang w:eastAsia="en-US"/>
              </w:rPr>
              <w:t>2020</w:t>
            </w:r>
          </w:p>
        </w:tc>
        <w:tc>
          <w:tcPr>
            <w:tcW w:w="3010" w:type="dxa"/>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BDD7EE"/>
            <w:vAlign w:val="center"/>
            <w:hideMark/>
          </w:tcPr>
          <w:p w14:paraId="476AF8BC" w14:textId="77777777" w:rsidR="00A65707" w:rsidRPr="0042384C" w:rsidRDefault="00A65707" w:rsidP="00A65707">
            <w:pPr>
              <w:jc w:val="center"/>
              <w:rPr>
                <w:rFonts w:asciiTheme="majorHAnsi" w:hAnsiTheme="majorHAnsi" w:cs="Calibri"/>
                <w:b/>
                <w:sz w:val="16"/>
                <w:szCs w:val="16"/>
                <w:lang w:eastAsia="en-US"/>
              </w:rPr>
            </w:pPr>
            <w:r w:rsidRPr="0042384C">
              <w:rPr>
                <w:rFonts w:asciiTheme="majorHAnsi" w:hAnsiTheme="majorHAnsi" w:cs="Calibri"/>
                <w:b/>
                <w:sz w:val="16"/>
                <w:szCs w:val="16"/>
                <w:lang w:eastAsia="en-US"/>
              </w:rPr>
              <w:t>2021</w:t>
            </w:r>
          </w:p>
        </w:tc>
        <w:tc>
          <w:tcPr>
            <w:tcW w:w="3428" w:type="dxa"/>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BDD7EE"/>
            <w:vAlign w:val="center"/>
            <w:hideMark/>
          </w:tcPr>
          <w:p w14:paraId="6DD50ED9" w14:textId="77777777" w:rsidR="00A65707" w:rsidRPr="0042384C" w:rsidRDefault="00A65707" w:rsidP="00A65707">
            <w:pPr>
              <w:jc w:val="center"/>
              <w:rPr>
                <w:rFonts w:asciiTheme="majorHAnsi" w:hAnsiTheme="majorHAnsi" w:cs="Calibri"/>
                <w:b/>
                <w:sz w:val="16"/>
                <w:szCs w:val="16"/>
                <w:lang w:eastAsia="en-US"/>
              </w:rPr>
            </w:pPr>
            <w:r w:rsidRPr="0042384C">
              <w:rPr>
                <w:rFonts w:asciiTheme="majorHAnsi" w:hAnsiTheme="majorHAnsi" w:cs="Calibri"/>
                <w:b/>
                <w:sz w:val="16"/>
                <w:szCs w:val="16"/>
                <w:lang w:eastAsia="en-US"/>
              </w:rPr>
              <w:t>2022</w:t>
            </w:r>
          </w:p>
        </w:tc>
      </w:tr>
      <w:tr w:rsidR="00C20B5C" w:rsidRPr="0042384C" w14:paraId="123EBE8A" w14:textId="77777777" w:rsidTr="002D2E90">
        <w:trPr>
          <w:trHeight w:val="20"/>
          <w:jc w:val="center"/>
        </w:trPr>
        <w:tc>
          <w:tcPr>
            <w:tcW w:w="0" w:type="auto"/>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469ABCF" w14:textId="77777777" w:rsidR="00A65707" w:rsidRPr="0042384C" w:rsidRDefault="00A65707" w:rsidP="00A65707">
            <w:pPr>
              <w:spacing w:line="256" w:lineRule="auto"/>
              <w:rPr>
                <w:rFonts w:asciiTheme="majorHAnsi" w:hAnsiTheme="majorHAnsi" w:cs="Calibri"/>
                <w:sz w:val="16"/>
                <w:szCs w:val="16"/>
                <w:lang w:eastAsia="en-US"/>
              </w:rPr>
            </w:pPr>
          </w:p>
        </w:tc>
        <w:tc>
          <w:tcPr>
            <w:tcW w:w="0" w:type="auto"/>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4F100A9" w14:textId="77777777" w:rsidR="00A65707" w:rsidRPr="0042384C" w:rsidRDefault="00A65707" w:rsidP="00A65707">
            <w:pPr>
              <w:spacing w:line="256" w:lineRule="auto"/>
              <w:rPr>
                <w:rFonts w:asciiTheme="majorHAnsi" w:hAnsiTheme="majorHAnsi" w:cs="Calibri"/>
                <w:b/>
                <w:sz w:val="16"/>
                <w:szCs w:val="16"/>
                <w:lang w:eastAsia="en-US"/>
              </w:rPr>
            </w:pP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BDD6EE" w:themeFill="accent1" w:themeFillTint="66"/>
            <w:vAlign w:val="center"/>
            <w:hideMark/>
          </w:tcPr>
          <w:p w14:paraId="3CB332C7" w14:textId="77777777" w:rsidR="00A65707" w:rsidRPr="0042384C" w:rsidRDefault="00A65707" w:rsidP="00A65707">
            <w:pPr>
              <w:jc w:val="center"/>
              <w:rPr>
                <w:rFonts w:asciiTheme="majorHAnsi" w:hAnsiTheme="majorHAnsi" w:cs="Calibri"/>
                <w:b/>
                <w:sz w:val="16"/>
                <w:szCs w:val="16"/>
                <w:lang w:eastAsia="en-US"/>
              </w:rPr>
            </w:pPr>
            <w:r w:rsidRPr="0042384C">
              <w:rPr>
                <w:rFonts w:asciiTheme="majorHAnsi" w:hAnsiTheme="majorHAnsi" w:cs="Calibri"/>
                <w:b/>
                <w:sz w:val="16"/>
                <w:szCs w:val="16"/>
                <w:lang w:eastAsia="en-US"/>
              </w:rPr>
              <w:t>ოდენობა გადაადგილებულ ვალუტაში</w:t>
            </w:r>
          </w:p>
        </w:tc>
        <w:tc>
          <w:tcPr>
            <w:tcW w:w="12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BDD7EE"/>
            <w:vAlign w:val="center"/>
            <w:hideMark/>
          </w:tcPr>
          <w:p w14:paraId="41AFDEE6" w14:textId="77777777" w:rsidR="00A65707" w:rsidRPr="0042384C" w:rsidRDefault="00A65707" w:rsidP="00A65707">
            <w:pPr>
              <w:jc w:val="center"/>
              <w:rPr>
                <w:rFonts w:asciiTheme="majorHAnsi" w:hAnsiTheme="majorHAnsi" w:cs="Calibri"/>
                <w:b/>
                <w:sz w:val="16"/>
                <w:szCs w:val="16"/>
                <w:lang w:eastAsia="en-US"/>
              </w:rPr>
            </w:pPr>
            <w:r w:rsidRPr="0042384C">
              <w:rPr>
                <w:rFonts w:asciiTheme="majorHAnsi" w:hAnsiTheme="majorHAnsi" w:cs="Calibri"/>
                <w:b/>
                <w:sz w:val="16"/>
                <w:szCs w:val="16"/>
                <w:lang w:eastAsia="en-US"/>
              </w:rPr>
              <w:t>შესაბამისი ეკვივალენტი ლარში</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BDD7EE"/>
            <w:vAlign w:val="center"/>
            <w:hideMark/>
          </w:tcPr>
          <w:p w14:paraId="1306F8E5" w14:textId="77777777" w:rsidR="00A65707" w:rsidRPr="0042384C" w:rsidRDefault="00A65707" w:rsidP="00A65707">
            <w:pPr>
              <w:jc w:val="center"/>
              <w:rPr>
                <w:rFonts w:asciiTheme="majorHAnsi" w:hAnsiTheme="majorHAnsi" w:cs="Calibri"/>
                <w:b/>
                <w:sz w:val="16"/>
                <w:szCs w:val="16"/>
                <w:lang w:eastAsia="en-US"/>
              </w:rPr>
            </w:pPr>
            <w:r w:rsidRPr="0042384C">
              <w:rPr>
                <w:rFonts w:asciiTheme="majorHAnsi" w:hAnsiTheme="majorHAnsi" w:cs="Calibri"/>
                <w:b/>
                <w:sz w:val="16"/>
                <w:szCs w:val="16"/>
                <w:lang w:eastAsia="en-US"/>
              </w:rPr>
              <w:t>ოდენობა გადაადგილებულ ვალუტაში</w:t>
            </w:r>
          </w:p>
        </w:tc>
        <w:tc>
          <w:tcPr>
            <w:tcW w:w="147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BDD7EE"/>
            <w:vAlign w:val="center"/>
            <w:hideMark/>
          </w:tcPr>
          <w:p w14:paraId="0D872CC8" w14:textId="77777777" w:rsidR="00A65707" w:rsidRPr="0042384C" w:rsidRDefault="00A65707" w:rsidP="00A65707">
            <w:pPr>
              <w:jc w:val="center"/>
              <w:rPr>
                <w:rFonts w:asciiTheme="majorHAnsi" w:hAnsiTheme="majorHAnsi" w:cs="Calibri"/>
                <w:b/>
                <w:sz w:val="16"/>
                <w:szCs w:val="16"/>
                <w:lang w:eastAsia="en-US"/>
              </w:rPr>
            </w:pPr>
            <w:r w:rsidRPr="0042384C">
              <w:rPr>
                <w:rFonts w:asciiTheme="majorHAnsi" w:hAnsiTheme="majorHAnsi" w:cs="Calibri"/>
                <w:b/>
                <w:sz w:val="16"/>
                <w:szCs w:val="16"/>
                <w:lang w:eastAsia="en-US"/>
              </w:rPr>
              <w:t>შესაბამისი ეკვივალენტი ლარში</w:t>
            </w:r>
          </w:p>
        </w:tc>
        <w:tc>
          <w:tcPr>
            <w:tcW w:w="171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BDD7EE"/>
            <w:vAlign w:val="center"/>
            <w:hideMark/>
          </w:tcPr>
          <w:p w14:paraId="15CDA1FE" w14:textId="77777777" w:rsidR="00A65707" w:rsidRPr="0042384C" w:rsidRDefault="00A65707" w:rsidP="00A65707">
            <w:pPr>
              <w:jc w:val="center"/>
              <w:rPr>
                <w:rFonts w:asciiTheme="majorHAnsi" w:hAnsiTheme="majorHAnsi" w:cs="Calibri"/>
                <w:b/>
                <w:sz w:val="16"/>
                <w:szCs w:val="16"/>
                <w:lang w:eastAsia="en-US"/>
              </w:rPr>
            </w:pPr>
            <w:r w:rsidRPr="0042384C">
              <w:rPr>
                <w:rFonts w:asciiTheme="majorHAnsi" w:hAnsiTheme="majorHAnsi" w:cs="Calibri"/>
                <w:b/>
                <w:sz w:val="16"/>
                <w:szCs w:val="16"/>
                <w:lang w:eastAsia="en-US"/>
              </w:rPr>
              <w:t>ოდენობა გადაადგილებულ ვალუტაში</w:t>
            </w:r>
          </w:p>
        </w:tc>
        <w:tc>
          <w:tcPr>
            <w:tcW w:w="17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BDD7EE"/>
            <w:vAlign w:val="center"/>
            <w:hideMark/>
          </w:tcPr>
          <w:p w14:paraId="0CCC3CA2" w14:textId="77777777" w:rsidR="00A65707" w:rsidRPr="0042384C" w:rsidRDefault="00A65707" w:rsidP="00A65707">
            <w:pPr>
              <w:jc w:val="center"/>
              <w:rPr>
                <w:rFonts w:asciiTheme="majorHAnsi" w:hAnsiTheme="majorHAnsi" w:cs="Calibri"/>
                <w:b/>
                <w:sz w:val="16"/>
                <w:szCs w:val="16"/>
                <w:lang w:eastAsia="en-US"/>
              </w:rPr>
            </w:pPr>
            <w:r w:rsidRPr="0042384C">
              <w:rPr>
                <w:rFonts w:asciiTheme="majorHAnsi" w:hAnsiTheme="majorHAnsi" w:cs="Calibri"/>
                <w:b/>
                <w:sz w:val="16"/>
                <w:szCs w:val="16"/>
                <w:lang w:eastAsia="en-US"/>
              </w:rPr>
              <w:t>შესაბამისი ეკვივალენტი ლარში</w:t>
            </w:r>
          </w:p>
        </w:tc>
      </w:tr>
      <w:tr w:rsidR="00523D0E" w:rsidRPr="0042384C" w14:paraId="43D7FA40" w14:textId="77777777" w:rsidTr="002D2E90">
        <w:trPr>
          <w:trHeight w:val="20"/>
          <w:jc w:val="center"/>
        </w:trPr>
        <w:tc>
          <w:tcPr>
            <w:tcW w:w="1340" w:type="dxa"/>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C2063A4" w14:textId="77777777" w:rsidR="00A65707" w:rsidRPr="0042384C" w:rsidRDefault="00A65707" w:rsidP="00A65707">
            <w:pPr>
              <w:rPr>
                <w:rFonts w:asciiTheme="majorHAnsi" w:hAnsiTheme="majorHAnsi" w:cs="Calibri"/>
                <w:sz w:val="16"/>
                <w:szCs w:val="16"/>
                <w:lang w:eastAsia="en-US"/>
              </w:rPr>
            </w:pPr>
            <w:r w:rsidRPr="0042384C">
              <w:rPr>
                <w:rFonts w:asciiTheme="majorHAnsi" w:hAnsiTheme="majorHAnsi" w:cs="Calibri"/>
                <w:sz w:val="16"/>
                <w:szCs w:val="16"/>
                <w:lang w:eastAsia="en-US"/>
              </w:rPr>
              <w:t>შემოტანა</w:t>
            </w:r>
          </w:p>
        </w:tc>
        <w:tc>
          <w:tcPr>
            <w:tcW w:w="100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519B4432"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USD</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4C942627"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29,111,011</w:t>
            </w:r>
          </w:p>
        </w:tc>
        <w:tc>
          <w:tcPr>
            <w:tcW w:w="12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6A8886E6"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86,308,074</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12AC1281"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142,451,872</w:t>
            </w:r>
          </w:p>
        </w:tc>
        <w:tc>
          <w:tcPr>
            <w:tcW w:w="147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6E4E9662"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453,542,278</w:t>
            </w:r>
          </w:p>
        </w:tc>
        <w:tc>
          <w:tcPr>
            <w:tcW w:w="171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57EC1E4B"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161,622,288</w:t>
            </w:r>
          </w:p>
        </w:tc>
        <w:tc>
          <w:tcPr>
            <w:tcW w:w="17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18530448"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479,593,691</w:t>
            </w:r>
          </w:p>
        </w:tc>
      </w:tr>
      <w:tr w:rsidR="00523D0E" w:rsidRPr="0042384C" w14:paraId="421CA1BB" w14:textId="77777777" w:rsidTr="002D2E90">
        <w:trPr>
          <w:trHeight w:val="20"/>
          <w:jc w:val="center"/>
        </w:trPr>
        <w:tc>
          <w:tcPr>
            <w:tcW w:w="0" w:type="auto"/>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FA836A6" w14:textId="77777777" w:rsidR="00A65707" w:rsidRPr="0042384C" w:rsidRDefault="00A65707" w:rsidP="00A65707">
            <w:pPr>
              <w:spacing w:line="256" w:lineRule="auto"/>
              <w:rPr>
                <w:rFonts w:asciiTheme="majorHAnsi" w:hAnsiTheme="majorHAnsi" w:cs="Calibri"/>
                <w:sz w:val="16"/>
                <w:szCs w:val="16"/>
                <w:lang w:eastAsia="en-US"/>
              </w:rPr>
            </w:pPr>
          </w:p>
        </w:tc>
        <w:tc>
          <w:tcPr>
            <w:tcW w:w="100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03457080"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EUR</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19F98B16"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9,577,344</w:t>
            </w:r>
          </w:p>
        </w:tc>
        <w:tc>
          <w:tcPr>
            <w:tcW w:w="12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15598165"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31,310,824</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25C5C53A"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8,569,969</w:t>
            </w:r>
          </w:p>
        </w:tc>
        <w:tc>
          <w:tcPr>
            <w:tcW w:w="147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2F2C0B20"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32,549,057</w:t>
            </w:r>
          </w:p>
        </w:tc>
        <w:tc>
          <w:tcPr>
            <w:tcW w:w="171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47B3A849"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19,372,857</w:t>
            </w:r>
          </w:p>
        </w:tc>
        <w:tc>
          <w:tcPr>
            <w:tcW w:w="17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524BD44E"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59,820,437</w:t>
            </w:r>
          </w:p>
        </w:tc>
      </w:tr>
      <w:tr w:rsidR="00523D0E" w:rsidRPr="0042384C" w14:paraId="3F8D40EF" w14:textId="77777777" w:rsidTr="002D2E90">
        <w:trPr>
          <w:trHeight w:val="20"/>
          <w:jc w:val="center"/>
        </w:trPr>
        <w:tc>
          <w:tcPr>
            <w:tcW w:w="0" w:type="auto"/>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F756444" w14:textId="77777777" w:rsidR="00A65707" w:rsidRPr="0042384C" w:rsidRDefault="00A65707" w:rsidP="00A65707">
            <w:pPr>
              <w:spacing w:line="256" w:lineRule="auto"/>
              <w:rPr>
                <w:rFonts w:asciiTheme="majorHAnsi" w:hAnsiTheme="majorHAnsi" w:cs="Calibri"/>
                <w:sz w:val="16"/>
                <w:szCs w:val="16"/>
                <w:lang w:eastAsia="en-US"/>
              </w:rPr>
            </w:pPr>
          </w:p>
        </w:tc>
        <w:tc>
          <w:tcPr>
            <w:tcW w:w="100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35945CAB"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TRY</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17B3EF67"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31,743,945</w:t>
            </w:r>
          </w:p>
        </w:tc>
        <w:tc>
          <w:tcPr>
            <w:tcW w:w="12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6CF40FBE"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14,000,790</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6A0CD73E"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111,980,095</w:t>
            </w:r>
          </w:p>
        </w:tc>
        <w:tc>
          <w:tcPr>
            <w:tcW w:w="147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09AA6308"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38,980,196</w:t>
            </w:r>
          </w:p>
        </w:tc>
        <w:tc>
          <w:tcPr>
            <w:tcW w:w="171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68A5E6E5"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414,462,310</w:t>
            </w:r>
          </w:p>
        </w:tc>
        <w:tc>
          <w:tcPr>
            <w:tcW w:w="17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3F97D9D9"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73,128,551</w:t>
            </w:r>
          </w:p>
        </w:tc>
      </w:tr>
      <w:tr w:rsidR="00523D0E" w:rsidRPr="0042384C" w14:paraId="1D1B0FCF" w14:textId="77777777" w:rsidTr="002D2E90">
        <w:trPr>
          <w:trHeight w:val="20"/>
          <w:jc w:val="center"/>
        </w:trPr>
        <w:tc>
          <w:tcPr>
            <w:tcW w:w="0" w:type="auto"/>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900E844" w14:textId="77777777" w:rsidR="00A65707" w:rsidRPr="0042384C" w:rsidRDefault="00A65707" w:rsidP="00A65707">
            <w:pPr>
              <w:spacing w:line="256" w:lineRule="auto"/>
              <w:rPr>
                <w:rFonts w:asciiTheme="majorHAnsi" w:hAnsiTheme="majorHAnsi" w:cs="Calibri"/>
                <w:sz w:val="16"/>
                <w:szCs w:val="16"/>
                <w:lang w:eastAsia="en-US"/>
              </w:rPr>
            </w:pPr>
          </w:p>
        </w:tc>
        <w:tc>
          <w:tcPr>
            <w:tcW w:w="100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22DB5192"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RUB</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52D511D9"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78,593,090</w:t>
            </w:r>
          </w:p>
        </w:tc>
        <w:tc>
          <w:tcPr>
            <w:tcW w:w="12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531A9A6E"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3,492,857</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3EA35DAE"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417,828,644</w:t>
            </w:r>
          </w:p>
        </w:tc>
        <w:tc>
          <w:tcPr>
            <w:tcW w:w="147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1C4DAF62"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18,243,476</w:t>
            </w:r>
          </w:p>
        </w:tc>
        <w:tc>
          <w:tcPr>
            <w:tcW w:w="171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6B4E0DE7"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2,208,465,830</w:t>
            </w:r>
          </w:p>
        </w:tc>
        <w:tc>
          <w:tcPr>
            <w:tcW w:w="17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2C7845D0"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98,118,885</w:t>
            </w:r>
          </w:p>
        </w:tc>
      </w:tr>
      <w:tr w:rsidR="00523D0E" w:rsidRPr="0042384C" w14:paraId="4EE7BA76" w14:textId="77777777" w:rsidTr="002D2E90">
        <w:trPr>
          <w:trHeight w:val="20"/>
          <w:jc w:val="center"/>
        </w:trPr>
        <w:tc>
          <w:tcPr>
            <w:tcW w:w="0" w:type="auto"/>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23A4A79" w14:textId="77777777" w:rsidR="00A65707" w:rsidRPr="0042384C" w:rsidRDefault="00A65707" w:rsidP="00A65707">
            <w:pPr>
              <w:spacing w:line="256" w:lineRule="auto"/>
              <w:rPr>
                <w:rFonts w:asciiTheme="majorHAnsi" w:hAnsiTheme="majorHAnsi" w:cs="Calibri"/>
                <w:sz w:val="16"/>
                <w:szCs w:val="16"/>
                <w:lang w:eastAsia="en-US"/>
              </w:rPr>
            </w:pPr>
          </w:p>
        </w:tc>
        <w:tc>
          <w:tcPr>
            <w:tcW w:w="100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0147C85F"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AZN</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39DE91C5"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739,642</w:t>
            </w:r>
          </w:p>
        </w:tc>
        <w:tc>
          <w:tcPr>
            <w:tcW w:w="12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2A8B0152"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1,314,079</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31BE620F"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2,356,355</w:t>
            </w:r>
          </w:p>
        </w:tc>
        <w:tc>
          <w:tcPr>
            <w:tcW w:w="147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6FC4A6EC"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4,438,272</w:t>
            </w:r>
          </w:p>
        </w:tc>
        <w:tc>
          <w:tcPr>
            <w:tcW w:w="171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6644A4E4"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2,016,083</w:t>
            </w:r>
          </w:p>
        </w:tc>
        <w:tc>
          <w:tcPr>
            <w:tcW w:w="17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7276B417"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3,497,304</w:t>
            </w:r>
          </w:p>
        </w:tc>
      </w:tr>
      <w:tr w:rsidR="00C20B5C" w:rsidRPr="0042384C" w14:paraId="50237A38" w14:textId="77777777" w:rsidTr="002D2E90">
        <w:trPr>
          <w:trHeight w:val="20"/>
          <w:jc w:val="center"/>
        </w:trPr>
        <w:tc>
          <w:tcPr>
            <w:tcW w:w="0" w:type="auto"/>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AE90E1F" w14:textId="77777777" w:rsidR="00A65707" w:rsidRPr="0042384C" w:rsidRDefault="00A65707" w:rsidP="00A65707">
            <w:pPr>
              <w:spacing w:line="256" w:lineRule="auto"/>
              <w:rPr>
                <w:rFonts w:asciiTheme="majorHAnsi" w:hAnsiTheme="majorHAnsi" w:cs="Calibri"/>
                <w:sz w:val="16"/>
                <w:szCs w:val="16"/>
                <w:lang w:eastAsia="en-US"/>
              </w:rPr>
            </w:pPr>
          </w:p>
        </w:tc>
        <w:tc>
          <w:tcPr>
            <w:tcW w:w="100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49CF7927"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AED</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3767A85B"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246,425.00</w:t>
            </w:r>
          </w:p>
        </w:tc>
        <w:tc>
          <w:tcPr>
            <w:tcW w:w="12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1EB28713"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193,438.07</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41F4997A"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714,995.00</w:t>
            </w:r>
          </w:p>
        </w:tc>
        <w:tc>
          <w:tcPr>
            <w:tcW w:w="147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5FB0B24A"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612,422.16</w:t>
            </w:r>
          </w:p>
        </w:tc>
        <w:tc>
          <w:tcPr>
            <w:tcW w:w="171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18B499FA"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1,211,125.00</w:t>
            </w:r>
          </w:p>
        </w:tc>
        <w:tc>
          <w:tcPr>
            <w:tcW w:w="17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6383BE2C"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948,780.49</w:t>
            </w:r>
          </w:p>
        </w:tc>
      </w:tr>
      <w:tr w:rsidR="00C20B5C" w:rsidRPr="0042384C" w14:paraId="4AD1248F" w14:textId="77777777" w:rsidTr="002D2E90">
        <w:trPr>
          <w:trHeight w:val="20"/>
          <w:jc w:val="center"/>
        </w:trPr>
        <w:tc>
          <w:tcPr>
            <w:tcW w:w="2340" w:type="dxa"/>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7C14A72F" w14:textId="77777777" w:rsidR="00A65707" w:rsidRPr="0042384C" w:rsidRDefault="00A65707" w:rsidP="00A65707">
            <w:pPr>
              <w:jc w:val="right"/>
              <w:rPr>
                <w:rFonts w:asciiTheme="majorHAnsi" w:hAnsiTheme="majorHAnsi" w:cs="Calibri"/>
                <w:b/>
                <w:bCs/>
                <w:sz w:val="16"/>
                <w:szCs w:val="16"/>
                <w:lang w:eastAsia="en-US"/>
              </w:rPr>
            </w:pPr>
            <w:r w:rsidRPr="0042384C">
              <w:rPr>
                <w:rFonts w:asciiTheme="majorHAnsi" w:hAnsiTheme="majorHAnsi" w:cs="Calibri"/>
                <w:b/>
                <w:bCs/>
                <w:sz w:val="16"/>
                <w:szCs w:val="16"/>
                <w:lang w:eastAsia="en-US"/>
              </w:rPr>
              <w:t>სულ</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3F5EA50B" w14:textId="77777777" w:rsidR="00A65707" w:rsidRPr="0042384C" w:rsidRDefault="00A65707" w:rsidP="00A65707">
            <w:pPr>
              <w:jc w:val="both"/>
              <w:rPr>
                <w:rFonts w:asciiTheme="majorHAnsi" w:hAnsiTheme="majorHAnsi" w:cs="Calibri"/>
                <w:b/>
                <w:bCs/>
                <w:sz w:val="16"/>
                <w:szCs w:val="16"/>
                <w:lang w:eastAsia="en-US"/>
              </w:rPr>
            </w:pPr>
            <w:r w:rsidRPr="0042384C">
              <w:rPr>
                <w:rFonts w:asciiTheme="majorHAnsi" w:hAnsiTheme="majorHAnsi" w:cs="Calibri"/>
                <w:b/>
                <w:bCs/>
                <w:sz w:val="16"/>
                <w:szCs w:val="16"/>
                <w:lang w:eastAsia="en-US"/>
              </w:rPr>
              <w:t>150,011,457.00</w:t>
            </w:r>
          </w:p>
        </w:tc>
        <w:tc>
          <w:tcPr>
            <w:tcW w:w="12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2CEE7149" w14:textId="77777777" w:rsidR="00A65707" w:rsidRPr="0042384C" w:rsidRDefault="00A65707" w:rsidP="00A65707">
            <w:pPr>
              <w:jc w:val="both"/>
              <w:rPr>
                <w:rFonts w:asciiTheme="majorHAnsi" w:hAnsiTheme="majorHAnsi" w:cs="Calibri"/>
                <w:b/>
                <w:bCs/>
                <w:sz w:val="16"/>
                <w:szCs w:val="16"/>
                <w:lang w:eastAsia="en-US"/>
              </w:rPr>
            </w:pPr>
            <w:r w:rsidRPr="0042384C">
              <w:rPr>
                <w:rFonts w:asciiTheme="majorHAnsi" w:hAnsiTheme="majorHAnsi" w:cs="Calibri"/>
                <w:b/>
                <w:bCs/>
                <w:sz w:val="16"/>
                <w:szCs w:val="16"/>
                <w:lang w:eastAsia="en-US"/>
              </w:rPr>
              <w:t>136,620,064.89</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527CD2A3" w14:textId="77777777" w:rsidR="00A65707" w:rsidRPr="0042384C" w:rsidRDefault="00A65707" w:rsidP="00A65707">
            <w:pPr>
              <w:jc w:val="both"/>
              <w:rPr>
                <w:rFonts w:asciiTheme="majorHAnsi" w:hAnsiTheme="majorHAnsi" w:cs="Calibri"/>
                <w:b/>
                <w:bCs/>
                <w:sz w:val="16"/>
                <w:szCs w:val="16"/>
                <w:lang w:eastAsia="en-US"/>
              </w:rPr>
            </w:pPr>
            <w:r w:rsidRPr="0042384C">
              <w:rPr>
                <w:rFonts w:asciiTheme="majorHAnsi" w:hAnsiTheme="majorHAnsi" w:cs="Calibri"/>
                <w:b/>
                <w:bCs/>
                <w:sz w:val="16"/>
                <w:szCs w:val="16"/>
                <w:lang w:eastAsia="en-US"/>
              </w:rPr>
              <w:t>683,901,930.58</w:t>
            </w:r>
          </w:p>
        </w:tc>
        <w:tc>
          <w:tcPr>
            <w:tcW w:w="147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19A99E3E" w14:textId="77777777" w:rsidR="00A65707" w:rsidRPr="0042384C" w:rsidRDefault="00A65707" w:rsidP="00A65707">
            <w:pPr>
              <w:jc w:val="both"/>
              <w:rPr>
                <w:rFonts w:asciiTheme="majorHAnsi" w:hAnsiTheme="majorHAnsi" w:cs="Calibri"/>
                <w:b/>
                <w:bCs/>
                <w:sz w:val="16"/>
                <w:szCs w:val="16"/>
                <w:lang w:eastAsia="en-US"/>
              </w:rPr>
            </w:pPr>
            <w:r w:rsidRPr="0042384C">
              <w:rPr>
                <w:rFonts w:asciiTheme="majorHAnsi" w:hAnsiTheme="majorHAnsi" w:cs="Calibri"/>
                <w:b/>
                <w:bCs/>
                <w:sz w:val="16"/>
                <w:szCs w:val="16"/>
                <w:lang w:eastAsia="en-US"/>
              </w:rPr>
              <w:t>548,365,703.60</w:t>
            </w:r>
          </w:p>
        </w:tc>
        <w:tc>
          <w:tcPr>
            <w:tcW w:w="171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1B288100" w14:textId="77777777" w:rsidR="00A65707" w:rsidRPr="0042384C" w:rsidRDefault="00A65707" w:rsidP="00A65707">
            <w:pPr>
              <w:jc w:val="both"/>
              <w:rPr>
                <w:rFonts w:asciiTheme="majorHAnsi" w:hAnsiTheme="majorHAnsi" w:cs="Calibri"/>
                <w:b/>
                <w:bCs/>
                <w:sz w:val="16"/>
                <w:szCs w:val="16"/>
                <w:lang w:eastAsia="en-US"/>
              </w:rPr>
            </w:pPr>
            <w:r w:rsidRPr="0042384C">
              <w:rPr>
                <w:rFonts w:asciiTheme="majorHAnsi" w:hAnsiTheme="majorHAnsi" w:cs="Calibri"/>
                <w:b/>
                <w:bCs/>
                <w:sz w:val="16"/>
                <w:szCs w:val="16"/>
                <w:lang w:eastAsia="en-US"/>
              </w:rPr>
              <w:t>2,807,150,496.05</w:t>
            </w:r>
          </w:p>
        </w:tc>
        <w:tc>
          <w:tcPr>
            <w:tcW w:w="17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7BE9939F" w14:textId="77777777" w:rsidR="00A65707" w:rsidRPr="0042384C" w:rsidRDefault="00A65707" w:rsidP="00A65707">
            <w:pPr>
              <w:jc w:val="both"/>
              <w:rPr>
                <w:rFonts w:asciiTheme="majorHAnsi" w:hAnsiTheme="majorHAnsi" w:cs="Calibri"/>
                <w:b/>
                <w:bCs/>
                <w:sz w:val="16"/>
                <w:szCs w:val="16"/>
                <w:lang w:eastAsia="en-US"/>
              </w:rPr>
            </w:pPr>
            <w:r w:rsidRPr="0042384C">
              <w:rPr>
                <w:rFonts w:asciiTheme="majorHAnsi" w:hAnsiTheme="majorHAnsi" w:cs="Calibri"/>
                <w:b/>
                <w:bCs/>
                <w:sz w:val="16"/>
                <w:szCs w:val="16"/>
                <w:lang w:eastAsia="en-US"/>
              </w:rPr>
              <w:t>715,107,648.84</w:t>
            </w:r>
          </w:p>
        </w:tc>
      </w:tr>
      <w:tr w:rsidR="00523D0E" w:rsidRPr="0042384C" w14:paraId="506FF522" w14:textId="77777777" w:rsidTr="002D2E90">
        <w:trPr>
          <w:trHeight w:val="20"/>
          <w:jc w:val="center"/>
        </w:trPr>
        <w:tc>
          <w:tcPr>
            <w:tcW w:w="1340" w:type="dxa"/>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4746E12" w14:textId="77777777" w:rsidR="00A65707" w:rsidRPr="0042384C" w:rsidRDefault="00A65707" w:rsidP="00A65707">
            <w:pPr>
              <w:rPr>
                <w:rFonts w:asciiTheme="majorHAnsi" w:hAnsiTheme="majorHAnsi" w:cs="Calibri"/>
                <w:sz w:val="16"/>
                <w:szCs w:val="16"/>
                <w:lang w:eastAsia="en-US"/>
              </w:rPr>
            </w:pPr>
            <w:r w:rsidRPr="0042384C">
              <w:rPr>
                <w:rFonts w:asciiTheme="majorHAnsi" w:hAnsiTheme="majorHAnsi" w:cs="Calibri"/>
                <w:sz w:val="16"/>
                <w:szCs w:val="16"/>
                <w:lang w:eastAsia="en-US"/>
              </w:rPr>
              <w:t>გატანა</w:t>
            </w:r>
          </w:p>
        </w:tc>
        <w:tc>
          <w:tcPr>
            <w:tcW w:w="100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11AF8681"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USD</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15C7ADCD"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25,904,768</w:t>
            </w:r>
          </w:p>
        </w:tc>
        <w:tc>
          <w:tcPr>
            <w:tcW w:w="12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28634806"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75,199,859</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03CECAA7"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50,330,754</w:t>
            </w:r>
          </w:p>
        </w:tc>
        <w:tc>
          <w:tcPr>
            <w:tcW w:w="147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2F410C2F"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159,921,912</w:t>
            </w:r>
          </w:p>
        </w:tc>
        <w:tc>
          <w:tcPr>
            <w:tcW w:w="171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6D7D44A8"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139,703,841</w:t>
            </w:r>
          </w:p>
        </w:tc>
        <w:tc>
          <w:tcPr>
            <w:tcW w:w="17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79BFDC36"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403,459,204</w:t>
            </w:r>
          </w:p>
        </w:tc>
      </w:tr>
      <w:tr w:rsidR="00523D0E" w:rsidRPr="0042384C" w14:paraId="5ADB9B03" w14:textId="77777777" w:rsidTr="002D2E90">
        <w:trPr>
          <w:trHeight w:val="20"/>
          <w:jc w:val="center"/>
        </w:trPr>
        <w:tc>
          <w:tcPr>
            <w:tcW w:w="0" w:type="auto"/>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21BFA62" w14:textId="77777777" w:rsidR="00A65707" w:rsidRPr="0042384C" w:rsidRDefault="00A65707" w:rsidP="00A65707">
            <w:pPr>
              <w:spacing w:line="256" w:lineRule="auto"/>
              <w:rPr>
                <w:rFonts w:asciiTheme="majorHAnsi" w:hAnsiTheme="majorHAnsi" w:cs="Calibri"/>
                <w:sz w:val="16"/>
                <w:szCs w:val="16"/>
                <w:lang w:eastAsia="en-US"/>
              </w:rPr>
            </w:pPr>
          </w:p>
        </w:tc>
        <w:tc>
          <w:tcPr>
            <w:tcW w:w="100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3661640F"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EUR</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51486100"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8,949,953</w:t>
            </w:r>
          </w:p>
        </w:tc>
        <w:tc>
          <w:tcPr>
            <w:tcW w:w="12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60BE16C3"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29,239,087</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777C27E7"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4,908,708</w:t>
            </w:r>
          </w:p>
        </w:tc>
        <w:tc>
          <w:tcPr>
            <w:tcW w:w="147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7113CCCA"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18,236,231</w:t>
            </w:r>
          </w:p>
        </w:tc>
        <w:tc>
          <w:tcPr>
            <w:tcW w:w="171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1FA45599"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18,061,769</w:t>
            </w:r>
          </w:p>
        </w:tc>
        <w:tc>
          <w:tcPr>
            <w:tcW w:w="17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7E749DED"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53,274,213</w:t>
            </w:r>
          </w:p>
        </w:tc>
      </w:tr>
      <w:tr w:rsidR="00523D0E" w:rsidRPr="0042384C" w14:paraId="6E6C5212" w14:textId="77777777" w:rsidTr="002D2E90">
        <w:trPr>
          <w:trHeight w:val="20"/>
          <w:jc w:val="center"/>
        </w:trPr>
        <w:tc>
          <w:tcPr>
            <w:tcW w:w="0" w:type="auto"/>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5D69D21" w14:textId="77777777" w:rsidR="00A65707" w:rsidRPr="0042384C" w:rsidRDefault="00A65707" w:rsidP="00A65707">
            <w:pPr>
              <w:spacing w:line="256" w:lineRule="auto"/>
              <w:rPr>
                <w:rFonts w:asciiTheme="majorHAnsi" w:hAnsiTheme="majorHAnsi" w:cs="Calibri"/>
                <w:sz w:val="16"/>
                <w:szCs w:val="16"/>
                <w:lang w:eastAsia="en-US"/>
              </w:rPr>
            </w:pPr>
          </w:p>
        </w:tc>
        <w:tc>
          <w:tcPr>
            <w:tcW w:w="100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0556C911"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GEL</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6D6C4EFD"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3,682,278</w:t>
            </w:r>
          </w:p>
        </w:tc>
        <w:tc>
          <w:tcPr>
            <w:tcW w:w="12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6F1F3A7E"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3,682,278</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1C13D3E9"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7,724,154</w:t>
            </w:r>
          </w:p>
        </w:tc>
        <w:tc>
          <w:tcPr>
            <w:tcW w:w="147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3FB546EB"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7,724,154</w:t>
            </w:r>
          </w:p>
        </w:tc>
        <w:tc>
          <w:tcPr>
            <w:tcW w:w="171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286E84D5"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9,262,23</w:t>
            </w:r>
          </w:p>
        </w:tc>
        <w:tc>
          <w:tcPr>
            <w:tcW w:w="17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32EAA297"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9,262,230</w:t>
            </w:r>
          </w:p>
        </w:tc>
      </w:tr>
      <w:tr w:rsidR="00523D0E" w:rsidRPr="0042384C" w14:paraId="4B1E4714" w14:textId="77777777" w:rsidTr="002D2E90">
        <w:trPr>
          <w:trHeight w:val="20"/>
          <w:jc w:val="center"/>
        </w:trPr>
        <w:tc>
          <w:tcPr>
            <w:tcW w:w="0" w:type="auto"/>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C9566DD" w14:textId="77777777" w:rsidR="00A65707" w:rsidRPr="0042384C" w:rsidRDefault="00A65707" w:rsidP="00A65707">
            <w:pPr>
              <w:spacing w:line="256" w:lineRule="auto"/>
              <w:rPr>
                <w:rFonts w:asciiTheme="majorHAnsi" w:hAnsiTheme="majorHAnsi" w:cs="Calibri"/>
                <w:sz w:val="16"/>
                <w:szCs w:val="16"/>
                <w:lang w:eastAsia="en-US"/>
              </w:rPr>
            </w:pPr>
          </w:p>
        </w:tc>
        <w:tc>
          <w:tcPr>
            <w:tcW w:w="100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1A97FC89"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RUB</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53BFDBDA"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23,390,414</w:t>
            </w:r>
          </w:p>
        </w:tc>
        <w:tc>
          <w:tcPr>
            <w:tcW w:w="12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026209FF"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1,032,555</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06264046"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17,248,986</w:t>
            </w:r>
          </w:p>
        </w:tc>
        <w:tc>
          <w:tcPr>
            <w:tcW w:w="147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047C7F99"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764,305</w:t>
            </w:r>
          </w:p>
        </w:tc>
        <w:tc>
          <w:tcPr>
            <w:tcW w:w="171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3737C39A"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312,361,125</w:t>
            </w:r>
          </w:p>
        </w:tc>
        <w:tc>
          <w:tcPr>
            <w:tcW w:w="17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7157A9E9"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14,428,050</w:t>
            </w:r>
          </w:p>
        </w:tc>
      </w:tr>
      <w:tr w:rsidR="00523D0E" w:rsidRPr="0042384C" w14:paraId="4CB7AA11" w14:textId="77777777" w:rsidTr="002D2E90">
        <w:trPr>
          <w:trHeight w:val="20"/>
          <w:jc w:val="center"/>
        </w:trPr>
        <w:tc>
          <w:tcPr>
            <w:tcW w:w="0" w:type="auto"/>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399B8C8" w14:textId="77777777" w:rsidR="00A65707" w:rsidRPr="0042384C" w:rsidRDefault="00A65707" w:rsidP="00A65707">
            <w:pPr>
              <w:spacing w:line="256" w:lineRule="auto"/>
              <w:rPr>
                <w:rFonts w:asciiTheme="majorHAnsi" w:hAnsiTheme="majorHAnsi" w:cs="Calibri"/>
                <w:sz w:val="16"/>
                <w:szCs w:val="16"/>
                <w:lang w:eastAsia="en-US"/>
              </w:rPr>
            </w:pPr>
          </w:p>
        </w:tc>
        <w:tc>
          <w:tcPr>
            <w:tcW w:w="100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1B52CDCA"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AED</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52AD7EE5"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3,387,289</w:t>
            </w:r>
          </w:p>
        </w:tc>
        <w:tc>
          <w:tcPr>
            <w:tcW w:w="12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64EA0017"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2,644,892</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00125796"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3,918,788</w:t>
            </w:r>
          </w:p>
        </w:tc>
        <w:tc>
          <w:tcPr>
            <w:tcW w:w="147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5AB6D82D"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3,370,418</w:t>
            </w:r>
          </w:p>
        </w:tc>
        <w:tc>
          <w:tcPr>
            <w:tcW w:w="171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33902984"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7,794,428</w:t>
            </w:r>
          </w:p>
        </w:tc>
        <w:tc>
          <w:tcPr>
            <w:tcW w:w="17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3C957509"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6,093,953</w:t>
            </w:r>
          </w:p>
        </w:tc>
      </w:tr>
      <w:tr w:rsidR="00C20B5C" w:rsidRPr="0042384C" w14:paraId="6E2F4888" w14:textId="77777777" w:rsidTr="002D2E90">
        <w:trPr>
          <w:trHeight w:val="20"/>
          <w:jc w:val="center"/>
        </w:trPr>
        <w:tc>
          <w:tcPr>
            <w:tcW w:w="0" w:type="auto"/>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D04392D" w14:textId="77777777" w:rsidR="00A65707" w:rsidRPr="0042384C" w:rsidRDefault="00A65707" w:rsidP="00A65707">
            <w:pPr>
              <w:spacing w:line="256" w:lineRule="auto"/>
              <w:rPr>
                <w:rFonts w:asciiTheme="majorHAnsi" w:hAnsiTheme="majorHAnsi" w:cs="Calibri"/>
                <w:sz w:val="16"/>
                <w:szCs w:val="16"/>
                <w:lang w:eastAsia="en-US"/>
              </w:rPr>
            </w:pPr>
          </w:p>
        </w:tc>
        <w:tc>
          <w:tcPr>
            <w:tcW w:w="100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66123582"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AZN</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639BA4F9"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1,020,978</w:t>
            </w:r>
          </w:p>
        </w:tc>
        <w:tc>
          <w:tcPr>
            <w:tcW w:w="12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6514E21C"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1,730,572</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6D333D76"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52,839</w:t>
            </w:r>
          </w:p>
        </w:tc>
        <w:tc>
          <w:tcPr>
            <w:tcW w:w="147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61C9CA48"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97,931</w:t>
            </w:r>
          </w:p>
        </w:tc>
        <w:tc>
          <w:tcPr>
            <w:tcW w:w="171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15621416"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514,183</w:t>
            </w:r>
          </w:p>
        </w:tc>
        <w:tc>
          <w:tcPr>
            <w:tcW w:w="17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6EA940FE" w14:textId="77777777" w:rsidR="00A65707" w:rsidRPr="0042384C" w:rsidRDefault="00A65707" w:rsidP="00A65707">
            <w:pPr>
              <w:jc w:val="both"/>
              <w:rPr>
                <w:rFonts w:asciiTheme="majorHAnsi" w:hAnsiTheme="majorHAnsi" w:cs="Calibri"/>
                <w:sz w:val="16"/>
                <w:szCs w:val="16"/>
                <w:lang w:eastAsia="en-US"/>
              </w:rPr>
            </w:pPr>
            <w:r w:rsidRPr="0042384C">
              <w:rPr>
                <w:rFonts w:asciiTheme="majorHAnsi" w:hAnsiTheme="majorHAnsi" w:cs="Calibri"/>
                <w:sz w:val="16"/>
                <w:szCs w:val="16"/>
                <w:lang w:eastAsia="en-US"/>
              </w:rPr>
              <w:t>906,363</w:t>
            </w:r>
          </w:p>
        </w:tc>
      </w:tr>
      <w:tr w:rsidR="00C20B5C" w:rsidRPr="0042384C" w14:paraId="15CA97A9" w14:textId="77777777" w:rsidTr="002D2E90">
        <w:trPr>
          <w:trHeight w:val="20"/>
          <w:jc w:val="center"/>
        </w:trPr>
        <w:tc>
          <w:tcPr>
            <w:tcW w:w="2340" w:type="dxa"/>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6FE77C7" w14:textId="77777777" w:rsidR="00A65707" w:rsidRPr="0042384C" w:rsidRDefault="00A65707" w:rsidP="00A65707">
            <w:pPr>
              <w:jc w:val="right"/>
              <w:rPr>
                <w:rFonts w:asciiTheme="majorHAnsi" w:hAnsiTheme="majorHAnsi" w:cs="Calibri"/>
                <w:sz w:val="16"/>
                <w:szCs w:val="16"/>
                <w:lang w:eastAsia="en-US"/>
              </w:rPr>
            </w:pPr>
            <w:r w:rsidRPr="0042384C">
              <w:rPr>
                <w:rFonts w:asciiTheme="majorHAnsi" w:hAnsiTheme="majorHAnsi" w:cs="Calibri"/>
                <w:b/>
                <w:sz w:val="16"/>
                <w:szCs w:val="16"/>
                <w:lang w:eastAsia="en-US"/>
              </w:rPr>
              <w:t>სულ</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0B45D634" w14:textId="77777777" w:rsidR="00A65707" w:rsidRPr="0042384C" w:rsidRDefault="00A65707" w:rsidP="00A65707">
            <w:pPr>
              <w:rPr>
                <w:rFonts w:asciiTheme="majorHAnsi" w:hAnsiTheme="majorHAnsi" w:cs="Calibri"/>
                <w:b/>
                <w:sz w:val="16"/>
                <w:szCs w:val="16"/>
                <w:lang w:eastAsia="en-US"/>
              </w:rPr>
            </w:pPr>
            <w:r w:rsidRPr="0042384C">
              <w:rPr>
                <w:rFonts w:asciiTheme="majorHAnsi" w:hAnsiTheme="majorHAnsi" w:cs="Calibri"/>
                <w:b/>
                <w:sz w:val="16"/>
                <w:szCs w:val="16"/>
                <w:lang w:eastAsia="en-US"/>
              </w:rPr>
              <w:t>66,335,681.03</w:t>
            </w:r>
          </w:p>
        </w:tc>
        <w:tc>
          <w:tcPr>
            <w:tcW w:w="12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11373241" w14:textId="77777777" w:rsidR="00A65707" w:rsidRPr="0042384C" w:rsidRDefault="00A65707" w:rsidP="00A65707">
            <w:pPr>
              <w:rPr>
                <w:rFonts w:asciiTheme="majorHAnsi" w:hAnsiTheme="majorHAnsi" w:cs="Calibri"/>
                <w:b/>
                <w:sz w:val="16"/>
                <w:szCs w:val="16"/>
                <w:lang w:eastAsia="en-US"/>
              </w:rPr>
            </w:pPr>
            <w:r w:rsidRPr="0042384C">
              <w:rPr>
                <w:rFonts w:asciiTheme="majorHAnsi" w:hAnsiTheme="majorHAnsi" w:cs="Calibri"/>
                <w:b/>
                <w:sz w:val="16"/>
                <w:szCs w:val="16"/>
                <w:lang w:eastAsia="en-US"/>
              </w:rPr>
              <w:t>113,529,246.07</w:t>
            </w:r>
          </w:p>
        </w:tc>
        <w:tc>
          <w:tcPr>
            <w:tcW w:w="153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0D8FA548" w14:textId="77777777" w:rsidR="00A65707" w:rsidRPr="0042384C" w:rsidRDefault="00A65707" w:rsidP="00A65707">
            <w:pPr>
              <w:rPr>
                <w:rFonts w:asciiTheme="majorHAnsi" w:hAnsiTheme="majorHAnsi" w:cs="Calibri"/>
                <w:b/>
                <w:sz w:val="16"/>
                <w:szCs w:val="16"/>
                <w:lang w:eastAsia="en-US"/>
              </w:rPr>
            </w:pPr>
            <w:r w:rsidRPr="0042384C">
              <w:rPr>
                <w:rFonts w:asciiTheme="majorHAnsi" w:hAnsiTheme="majorHAnsi" w:cs="Calibri"/>
                <w:b/>
                <w:sz w:val="16"/>
                <w:szCs w:val="16"/>
                <w:lang w:eastAsia="en-US"/>
              </w:rPr>
              <w:t>84,184,230.35</w:t>
            </w:r>
          </w:p>
        </w:tc>
        <w:tc>
          <w:tcPr>
            <w:tcW w:w="147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5AC48170" w14:textId="77777777" w:rsidR="00A65707" w:rsidRPr="0042384C" w:rsidRDefault="00A65707" w:rsidP="00A65707">
            <w:pPr>
              <w:rPr>
                <w:rFonts w:asciiTheme="majorHAnsi" w:hAnsiTheme="majorHAnsi" w:cs="Calibri"/>
                <w:b/>
                <w:sz w:val="16"/>
                <w:szCs w:val="16"/>
                <w:lang w:eastAsia="en-US"/>
              </w:rPr>
            </w:pPr>
            <w:r w:rsidRPr="0042384C">
              <w:rPr>
                <w:rFonts w:asciiTheme="majorHAnsi" w:hAnsiTheme="majorHAnsi" w:cs="Calibri"/>
                <w:b/>
                <w:sz w:val="16"/>
                <w:szCs w:val="16"/>
                <w:lang w:eastAsia="en-US"/>
              </w:rPr>
              <w:t>190,114,953.71</w:t>
            </w:r>
          </w:p>
        </w:tc>
        <w:tc>
          <w:tcPr>
            <w:tcW w:w="171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3FA68E10" w14:textId="77777777" w:rsidR="00A65707" w:rsidRPr="0042384C" w:rsidRDefault="00A65707" w:rsidP="00A65707">
            <w:pPr>
              <w:rPr>
                <w:rFonts w:asciiTheme="majorHAnsi" w:hAnsiTheme="majorHAnsi" w:cs="Calibri"/>
                <w:b/>
                <w:sz w:val="16"/>
                <w:szCs w:val="16"/>
                <w:lang w:eastAsia="en-US"/>
              </w:rPr>
            </w:pPr>
            <w:r w:rsidRPr="0042384C">
              <w:rPr>
                <w:rFonts w:asciiTheme="majorHAnsi" w:hAnsiTheme="majorHAnsi" w:cs="Calibri"/>
                <w:b/>
                <w:sz w:val="16"/>
                <w:szCs w:val="16"/>
                <w:lang w:eastAsia="en-US"/>
              </w:rPr>
              <w:t>487,697,576.93</w:t>
            </w:r>
          </w:p>
        </w:tc>
        <w:tc>
          <w:tcPr>
            <w:tcW w:w="1718"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FFFFFF"/>
            <w:noWrap/>
            <w:vAlign w:val="center"/>
            <w:hideMark/>
          </w:tcPr>
          <w:p w14:paraId="73A4D69F" w14:textId="77777777" w:rsidR="00A65707" w:rsidRPr="0042384C" w:rsidRDefault="00A65707" w:rsidP="00A65707">
            <w:pPr>
              <w:rPr>
                <w:rFonts w:asciiTheme="majorHAnsi" w:hAnsiTheme="majorHAnsi" w:cs="Calibri"/>
                <w:b/>
                <w:sz w:val="16"/>
                <w:szCs w:val="16"/>
                <w:lang w:eastAsia="en-US"/>
              </w:rPr>
            </w:pPr>
            <w:r w:rsidRPr="0042384C">
              <w:rPr>
                <w:rFonts w:asciiTheme="majorHAnsi" w:hAnsiTheme="majorHAnsi" w:cs="Calibri"/>
                <w:b/>
                <w:sz w:val="16"/>
                <w:szCs w:val="16"/>
                <w:lang w:eastAsia="en-US"/>
              </w:rPr>
              <w:t>487,424,016.19</w:t>
            </w:r>
          </w:p>
        </w:tc>
      </w:tr>
    </w:tbl>
    <w:p w14:paraId="1828F8A7" w14:textId="77777777" w:rsidR="00A65707" w:rsidRPr="0042384C" w:rsidRDefault="00A65707" w:rsidP="00A65707">
      <w:pPr>
        <w:spacing w:line="276" w:lineRule="auto"/>
        <w:ind w:firstLine="720"/>
        <w:jc w:val="both"/>
        <w:rPr>
          <w:rFonts w:asciiTheme="majorHAnsi" w:eastAsia="Calibri" w:hAnsiTheme="majorHAnsi"/>
          <w:b/>
          <w:lang w:eastAsia="en-US"/>
        </w:rPr>
      </w:pPr>
    </w:p>
    <w:p w14:paraId="76D7D25E" w14:textId="072FCBFE" w:rsidR="00A65707" w:rsidRPr="0042384C" w:rsidRDefault="00A65707" w:rsidP="00A65707">
      <w:pPr>
        <w:spacing w:line="276" w:lineRule="auto"/>
        <w:ind w:firstLine="720"/>
        <w:jc w:val="both"/>
        <w:rPr>
          <w:rFonts w:asciiTheme="majorHAnsi" w:eastAsia="Calibri" w:hAnsiTheme="majorHAnsi"/>
          <w:lang w:eastAsia="en-US"/>
        </w:rPr>
      </w:pPr>
      <w:r w:rsidRPr="0042384C">
        <w:rPr>
          <w:rFonts w:asciiTheme="majorHAnsi" w:eastAsia="Calibri" w:hAnsiTheme="majorHAnsi"/>
          <w:lang w:eastAsia="en-US"/>
        </w:rPr>
        <w:t>საქართველოს საბაჟო საზღვარზე 30 000 ლარზე ან სხვა ვალუტაში მის ეკვივალენტზე მეტი ოდენობის ნაღდი ფულისა და ფასიანი ქაღალდის საბაჟო კონტროლის გვერდის ავლით ან მისგან მალულად ან არასწორი დეკლარირებით გადატანა ან გადმოტანისათვის საქართველოს საბაჟო კოდექსის 169-ე მუხლით გათვალისწინებული პასუხისმგებლობა</w:t>
      </w:r>
      <w:r w:rsidRPr="0042384C">
        <w:rPr>
          <w:rFonts w:asciiTheme="majorHAnsi" w:eastAsia="Calibri" w:hAnsiTheme="majorHAnsi"/>
          <w:b/>
          <w:vertAlign w:val="superscript"/>
          <w:lang w:eastAsia="en-US"/>
        </w:rPr>
        <w:endnoteReference w:id="1"/>
      </w:r>
      <w:r w:rsidRPr="0042384C">
        <w:rPr>
          <w:rFonts w:asciiTheme="majorHAnsi" w:eastAsia="Calibri" w:hAnsiTheme="majorHAnsi"/>
          <w:b/>
          <w:lang w:eastAsia="en-US"/>
        </w:rPr>
        <w:t xml:space="preserve"> </w:t>
      </w:r>
      <w:r w:rsidRPr="0042384C">
        <w:rPr>
          <w:rFonts w:asciiTheme="majorHAnsi" w:eastAsia="Calibri" w:hAnsiTheme="majorHAnsi"/>
          <w:lang w:eastAsia="en-US"/>
        </w:rPr>
        <w:t xml:space="preserve">დაკისრებულ იქნა </w:t>
      </w:r>
      <w:r w:rsidRPr="0042384C">
        <w:rPr>
          <w:rFonts w:asciiTheme="majorHAnsi" w:eastAsia="Calibri" w:hAnsiTheme="majorHAnsi"/>
          <w:b/>
          <w:lang w:eastAsia="en-US"/>
        </w:rPr>
        <w:t>637 შემთხვევაში</w:t>
      </w:r>
      <w:r w:rsidRPr="0042384C">
        <w:rPr>
          <w:rFonts w:asciiTheme="majorHAnsi" w:eastAsia="Calibri" w:hAnsiTheme="majorHAnsi"/>
          <w:lang w:eastAsia="en-US"/>
        </w:rPr>
        <w:t xml:space="preserve"> (2020 წელს – 76 შემთხვევაში, 2021 წელს – 243 შემთხვევაში, 2022 წელს – 318 შემთხვევაში), აქედან სანქციის სახით ფულადი ჯარიმა გამოყენებულ იქნა </w:t>
      </w:r>
      <w:r w:rsidRPr="0042384C">
        <w:rPr>
          <w:rFonts w:asciiTheme="majorHAnsi" w:eastAsia="Calibri" w:hAnsiTheme="majorHAnsi"/>
          <w:b/>
          <w:lang w:eastAsia="en-US"/>
        </w:rPr>
        <w:t>623</w:t>
      </w:r>
      <w:r w:rsidRPr="0042384C">
        <w:rPr>
          <w:rFonts w:asciiTheme="majorHAnsi" w:eastAsia="Calibri" w:hAnsiTheme="majorHAnsi"/>
          <w:lang w:eastAsia="en-US"/>
        </w:rPr>
        <w:t xml:space="preserve"> </w:t>
      </w:r>
      <w:r w:rsidRPr="0042384C">
        <w:rPr>
          <w:rFonts w:asciiTheme="majorHAnsi" w:eastAsia="Calibri" w:hAnsiTheme="majorHAnsi"/>
          <w:lang w:eastAsia="en-US"/>
        </w:rPr>
        <w:lastRenderedPageBreak/>
        <w:t xml:space="preserve">შემთხვევაში, ხოლო საქონლის უსასყიდლოდ ჩამორთმევა – </w:t>
      </w:r>
      <w:r w:rsidRPr="0042384C">
        <w:rPr>
          <w:rFonts w:asciiTheme="majorHAnsi" w:eastAsia="Calibri" w:hAnsiTheme="majorHAnsi"/>
          <w:b/>
          <w:lang w:eastAsia="en-US"/>
        </w:rPr>
        <w:t>14</w:t>
      </w:r>
      <w:r w:rsidRPr="0042384C">
        <w:rPr>
          <w:rFonts w:asciiTheme="majorHAnsi" w:eastAsia="Calibri" w:hAnsiTheme="majorHAnsi"/>
          <w:lang w:eastAsia="en-US"/>
        </w:rPr>
        <w:t xml:space="preserve"> შემთხვევაში, რომელზეც დეტალური ინფორმაცია მოცემულია ცხრილში:</w:t>
      </w:r>
    </w:p>
    <w:p w14:paraId="50AE46B9" w14:textId="28CCFDC4" w:rsidR="00A65707" w:rsidRPr="0042384C" w:rsidRDefault="00A65707" w:rsidP="00A65707">
      <w:pPr>
        <w:spacing w:line="276" w:lineRule="auto"/>
        <w:ind w:firstLine="720"/>
        <w:jc w:val="both"/>
        <w:rPr>
          <w:rFonts w:asciiTheme="majorHAnsi" w:eastAsia="Calibri" w:hAnsiTheme="majorHAnsi"/>
          <w:lang w:eastAsia="en-US"/>
        </w:rPr>
      </w:pPr>
    </w:p>
    <w:p w14:paraId="1CA37FF1" w14:textId="77777777" w:rsidR="004933A6" w:rsidRPr="0042384C" w:rsidRDefault="004933A6" w:rsidP="00A65707">
      <w:pPr>
        <w:spacing w:line="276" w:lineRule="auto"/>
        <w:ind w:firstLine="720"/>
        <w:jc w:val="both"/>
        <w:rPr>
          <w:rFonts w:asciiTheme="majorHAnsi" w:eastAsia="Calibri" w:hAnsiTheme="majorHAnsi"/>
          <w:lang w:eastAsia="en-US"/>
        </w:rPr>
      </w:pPr>
    </w:p>
    <w:tbl>
      <w:tblPr>
        <w:tblStyle w:val="TableGrid1"/>
        <w:tblW w:w="9535" w:type="dxa"/>
        <w:tblInd w:w="0" w:type="dxa"/>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firstRow="1" w:lastRow="0" w:firstColumn="1" w:lastColumn="0" w:noHBand="0" w:noVBand="1"/>
      </w:tblPr>
      <w:tblGrid>
        <w:gridCol w:w="1960"/>
        <w:gridCol w:w="2830"/>
        <w:gridCol w:w="4745"/>
      </w:tblGrid>
      <w:tr w:rsidR="00A65707" w:rsidRPr="0042384C" w14:paraId="3EF80ECD" w14:textId="77777777" w:rsidTr="00A65707">
        <w:trPr>
          <w:trHeight w:val="20"/>
        </w:trPr>
        <w:tc>
          <w:tcPr>
            <w:tcW w:w="9535" w:type="dxa"/>
            <w:gridSpan w:val="3"/>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BDD6EE" w:themeFill="accent1" w:themeFillTint="66"/>
            <w:vAlign w:val="center"/>
            <w:hideMark/>
          </w:tcPr>
          <w:p w14:paraId="48DC1AAC" w14:textId="77777777" w:rsidR="00A65707" w:rsidRPr="0042384C" w:rsidRDefault="00A65707" w:rsidP="007E4E23">
            <w:pPr>
              <w:jc w:val="center"/>
              <w:rPr>
                <w:rFonts w:asciiTheme="majorHAnsi" w:hAnsiTheme="majorHAnsi" w:cs="Calibri"/>
                <w:b/>
                <w:bCs/>
                <w:lang w:val="ka-GE" w:eastAsia="en-US"/>
              </w:rPr>
            </w:pPr>
            <w:r w:rsidRPr="0042384C">
              <w:rPr>
                <w:rFonts w:asciiTheme="majorHAnsi" w:hAnsiTheme="majorHAnsi" w:cs="Calibri"/>
                <w:b/>
                <w:bCs/>
                <w:lang w:val="ka-GE" w:eastAsia="en-US"/>
              </w:rPr>
              <w:t>სანქციის სახით ფულადი ჯარიმის შეფარდება</w:t>
            </w:r>
          </w:p>
        </w:tc>
      </w:tr>
      <w:tr w:rsidR="008873C7" w:rsidRPr="0042384C" w14:paraId="5C931F31" w14:textId="77777777" w:rsidTr="00A65707">
        <w:trPr>
          <w:trHeight w:val="20"/>
        </w:trPr>
        <w:tc>
          <w:tcPr>
            <w:tcW w:w="233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D5CB1E7" w14:textId="77777777" w:rsidR="00A65707" w:rsidRPr="0042384C" w:rsidRDefault="00A65707" w:rsidP="007E4E23">
            <w:pPr>
              <w:jc w:val="center"/>
              <w:rPr>
                <w:rFonts w:asciiTheme="majorHAnsi" w:hAnsiTheme="majorHAnsi" w:cs="Calibri"/>
                <w:b/>
                <w:bCs/>
                <w:lang w:val="ka-GE" w:eastAsia="en-US"/>
              </w:rPr>
            </w:pPr>
            <w:r w:rsidRPr="0042384C">
              <w:rPr>
                <w:rFonts w:asciiTheme="majorHAnsi" w:hAnsiTheme="majorHAnsi" w:cs="Calibri"/>
                <w:b/>
                <w:bCs/>
                <w:lang w:val="ka-GE" w:eastAsia="en-US"/>
              </w:rPr>
              <w:t>პერიოდი</w:t>
            </w:r>
          </w:p>
        </w:tc>
        <w:tc>
          <w:tcPr>
            <w:tcW w:w="245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821C62D" w14:textId="77777777" w:rsidR="00A65707" w:rsidRPr="0042384C" w:rsidRDefault="00A65707" w:rsidP="007E4E23">
            <w:pPr>
              <w:jc w:val="center"/>
              <w:rPr>
                <w:rFonts w:asciiTheme="majorHAnsi" w:hAnsiTheme="majorHAnsi" w:cs="Calibri"/>
                <w:b/>
                <w:bCs/>
                <w:lang w:val="ka-GE" w:eastAsia="en-US"/>
              </w:rPr>
            </w:pPr>
            <w:r w:rsidRPr="0042384C">
              <w:rPr>
                <w:rFonts w:asciiTheme="majorHAnsi" w:hAnsiTheme="majorHAnsi" w:cs="Calibri"/>
                <w:b/>
                <w:bCs/>
                <w:lang w:val="ka-GE" w:eastAsia="en-US"/>
              </w:rPr>
              <w:t>სამართალდარღვევების რაოდენობა</w:t>
            </w:r>
          </w:p>
        </w:tc>
        <w:tc>
          <w:tcPr>
            <w:tcW w:w="474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2BCB5B1" w14:textId="77777777" w:rsidR="00A65707" w:rsidRPr="0042384C" w:rsidRDefault="00A65707" w:rsidP="007E4E23">
            <w:pPr>
              <w:jc w:val="center"/>
              <w:rPr>
                <w:rFonts w:asciiTheme="majorHAnsi" w:hAnsiTheme="majorHAnsi" w:cs="Calibri"/>
                <w:b/>
                <w:bCs/>
                <w:lang w:val="ka-GE" w:eastAsia="en-US"/>
              </w:rPr>
            </w:pPr>
            <w:r w:rsidRPr="0042384C">
              <w:rPr>
                <w:rFonts w:asciiTheme="majorHAnsi" w:hAnsiTheme="majorHAnsi" w:cs="Calibri"/>
                <w:b/>
                <w:bCs/>
                <w:lang w:val="ka-GE" w:eastAsia="en-US"/>
              </w:rPr>
              <w:t>სანქციის სახით შეფარდება ჯარიმის თანხის ოდენობა</w:t>
            </w:r>
          </w:p>
        </w:tc>
      </w:tr>
      <w:tr w:rsidR="008873C7" w:rsidRPr="0042384C" w14:paraId="50F1F97E" w14:textId="77777777" w:rsidTr="00A65707">
        <w:trPr>
          <w:trHeight w:val="20"/>
        </w:trPr>
        <w:tc>
          <w:tcPr>
            <w:tcW w:w="233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320771E" w14:textId="77777777" w:rsidR="00A65707" w:rsidRPr="0042384C" w:rsidRDefault="00A65707" w:rsidP="007E4E23">
            <w:pPr>
              <w:jc w:val="center"/>
              <w:rPr>
                <w:rFonts w:asciiTheme="majorHAnsi" w:hAnsiTheme="majorHAnsi" w:cs="Calibri"/>
                <w:lang w:val="ka-GE" w:eastAsia="en-US"/>
              </w:rPr>
            </w:pPr>
            <w:r w:rsidRPr="0042384C">
              <w:rPr>
                <w:rFonts w:asciiTheme="majorHAnsi" w:hAnsiTheme="majorHAnsi" w:cs="Calibri"/>
                <w:lang w:val="ka-GE" w:eastAsia="en-US"/>
              </w:rPr>
              <w:t>2020</w:t>
            </w:r>
          </w:p>
        </w:tc>
        <w:tc>
          <w:tcPr>
            <w:tcW w:w="245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F8664FB" w14:textId="02EA156F" w:rsidR="00A65707" w:rsidRPr="0042384C" w:rsidRDefault="00A65707" w:rsidP="007E4E23">
            <w:pPr>
              <w:jc w:val="center"/>
              <w:rPr>
                <w:rFonts w:asciiTheme="majorHAnsi" w:hAnsiTheme="majorHAnsi" w:cs="Calibri"/>
                <w:lang w:val="ka-GE" w:eastAsia="en-US"/>
              </w:rPr>
            </w:pPr>
            <w:r w:rsidRPr="0042384C">
              <w:rPr>
                <w:rFonts w:asciiTheme="majorHAnsi" w:hAnsiTheme="majorHAnsi" w:cs="Calibri"/>
                <w:lang w:val="ka-GE" w:eastAsia="en-US"/>
              </w:rPr>
              <w:t>76</w:t>
            </w:r>
          </w:p>
        </w:tc>
        <w:tc>
          <w:tcPr>
            <w:tcW w:w="474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1DCDC08" w14:textId="77777777" w:rsidR="00A65707" w:rsidRPr="0042384C" w:rsidRDefault="00A65707" w:rsidP="007E4E23">
            <w:pPr>
              <w:jc w:val="center"/>
              <w:rPr>
                <w:rFonts w:asciiTheme="majorHAnsi" w:hAnsiTheme="majorHAnsi" w:cs="Calibri"/>
                <w:lang w:val="ka-GE" w:eastAsia="en-US"/>
              </w:rPr>
            </w:pPr>
            <w:r w:rsidRPr="0042384C">
              <w:rPr>
                <w:rFonts w:asciiTheme="majorHAnsi" w:hAnsiTheme="majorHAnsi" w:cs="Calibri"/>
                <w:lang w:val="ka-GE" w:eastAsia="en-US"/>
              </w:rPr>
              <w:t>332,515.95</w:t>
            </w:r>
          </w:p>
        </w:tc>
      </w:tr>
      <w:tr w:rsidR="008873C7" w:rsidRPr="0042384C" w14:paraId="32A08531" w14:textId="77777777" w:rsidTr="00A65707">
        <w:trPr>
          <w:trHeight w:val="20"/>
        </w:trPr>
        <w:tc>
          <w:tcPr>
            <w:tcW w:w="233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DFD47C3" w14:textId="77777777" w:rsidR="00A65707" w:rsidRPr="0042384C" w:rsidRDefault="00A65707" w:rsidP="007E4E23">
            <w:pPr>
              <w:jc w:val="center"/>
              <w:rPr>
                <w:rFonts w:asciiTheme="majorHAnsi" w:hAnsiTheme="majorHAnsi" w:cs="Calibri"/>
                <w:lang w:val="ka-GE" w:eastAsia="en-US"/>
              </w:rPr>
            </w:pPr>
            <w:r w:rsidRPr="0042384C">
              <w:rPr>
                <w:rFonts w:asciiTheme="majorHAnsi" w:hAnsiTheme="majorHAnsi" w:cs="Calibri"/>
                <w:lang w:val="ka-GE" w:eastAsia="en-US"/>
              </w:rPr>
              <w:t>2021</w:t>
            </w:r>
          </w:p>
        </w:tc>
        <w:tc>
          <w:tcPr>
            <w:tcW w:w="245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hideMark/>
          </w:tcPr>
          <w:p w14:paraId="28B700BF" w14:textId="2B2447CF" w:rsidR="00A65707" w:rsidRPr="0042384C" w:rsidRDefault="00A65707" w:rsidP="007E4E23">
            <w:pPr>
              <w:jc w:val="center"/>
              <w:rPr>
                <w:rFonts w:asciiTheme="majorHAnsi" w:hAnsiTheme="majorHAnsi" w:cs="Calibri"/>
                <w:lang w:val="ka-GE" w:eastAsia="en-US"/>
              </w:rPr>
            </w:pPr>
            <w:r w:rsidRPr="0042384C">
              <w:rPr>
                <w:rFonts w:asciiTheme="majorHAnsi" w:hAnsiTheme="majorHAnsi" w:cs="Calibri"/>
                <w:lang w:val="ka-GE" w:eastAsia="en-US"/>
              </w:rPr>
              <w:t>243</w:t>
            </w:r>
          </w:p>
        </w:tc>
        <w:tc>
          <w:tcPr>
            <w:tcW w:w="474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FA47170" w14:textId="77777777" w:rsidR="00A65707" w:rsidRPr="0042384C" w:rsidRDefault="00A65707" w:rsidP="007E4E23">
            <w:pPr>
              <w:jc w:val="center"/>
              <w:rPr>
                <w:rFonts w:asciiTheme="majorHAnsi" w:hAnsiTheme="majorHAnsi" w:cs="Calibri"/>
                <w:lang w:val="ka-GE" w:eastAsia="en-US"/>
              </w:rPr>
            </w:pPr>
            <w:r w:rsidRPr="0042384C">
              <w:rPr>
                <w:rFonts w:asciiTheme="majorHAnsi" w:hAnsiTheme="majorHAnsi" w:cs="Calibri"/>
                <w:lang w:val="ka-GE" w:eastAsia="en-US"/>
              </w:rPr>
              <w:t>1,853,291.80</w:t>
            </w:r>
          </w:p>
        </w:tc>
      </w:tr>
      <w:tr w:rsidR="008873C7" w:rsidRPr="0042384C" w14:paraId="57879981" w14:textId="77777777" w:rsidTr="00A65707">
        <w:trPr>
          <w:trHeight w:val="20"/>
        </w:trPr>
        <w:tc>
          <w:tcPr>
            <w:tcW w:w="233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32288C8" w14:textId="77777777" w:rsidR="00A65707" w:rsidRPr="0042384C" w:rsidRDefault="00A65707" w:rsidP="007E4E23">
            <w:pPr>
              <w:jc w:val="center"/>
              <w:rPr>
                <w:rFonts w:asciiTheme="majorHAnsi" w:hAnsiTheme="majorHAnsi" w:cs="Calibri"/>
                <w:lang w:val="ka-GE" w:eastAsia="en-US"/>
              </w:rPr>
            </w:pPr>
            <w:r w:rsidRPr="0042384C">
              <w:rPr>
                <w:rFonts w:asciiTheme="majorHAnsi" w:hAnsiTheme="majorHAnsi" w:cs="Calibri"/>
                <w:lang w:val="ka-GE" w:eastAsia="en-US"/>
              </w:rPr>
              <w:t>2022</w:t>
            </w:r>
          </w:p>
        </w:tc>
        <w:tc>
          <w:tcPr>
            <w:tcW w:w="245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hideMark/>
          </w:tcPr>
          <w:p w14:paraId="6EE654A5" w14:textId="56DD55FD" w:rsidR="00A65707" w:rsidRPr="0042384C" w:rsidRDefault="00A65707" w:rsidP="007E4E23">
            <w:pPr>
              <w:jc w:val="center"/>
              <w:rPr>
                <w:rFonts w:asciiTheme="majorHAnsi" w:hAnsiTheme="majorHAnsi" w:cs="Calibri"/>
                <w:lang w:val="ka-GE" w:eastAsia="en-US"/>
              </w:rPr>
            </w:pPr>
            <w:r w:rsidRPr="0042384C">
              <w:rPr>
                <w:rFonts w:asciiTheme="majorHAnsi" w:hAnsiTheme="majorHAnsi" w:cs="Calibri"/>
                <w:lang w:val="ka-GE" w:eastAsia="en-US"/>
              </w:rPr>
              <w:t>318</w:t>
            </w:r>
          </w:p>
        </w:tc>
        <w:tc>
          <w:tcPr>
            <w:tcW w:w="474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noWrap/>
            <w:vAlign w:val="center"/>
            <w:hideMark/>
          </w:tcPr>
          <w:p w14:paraId="154A1EAD" w14:textId="77777777" w:rsidR="00A65707" w:rsidRPr="0042384C" w:rsidRDefault="00A65707" w:rsidP="007E4E23">
            <w:pPr>
              <w:jc w:val="center"/>
              <w:rPr>
                <w:rFonts w:asciiTheme="majorHAnsi" w:hAnsiTheme="majorHAnsi" w:cs="Calibri"/>
                <w:lang w:val="ka-GE" w:eastAsia="en-US"/>
              </w:rPr>
            </w:pPr>
            <w:r w:rsidRPr="0042384C">
              <w:rPr>
                <w:rFonts w:asciiTheme="majorHAnsi" w:hAnsiTheme="majorHAnsi" w:cs="Calibri"/>
                <w:lang w:val="ka-GE" w:eastAsia="en-US"/>
              </w:rPr>
              <w:t>2,330,367.57</w:t>
            </w:r>
          </w:p>
        </w:tc>
      </w:tr>
      <w:tr w:rsidR="00A65707" w:rsidRPr="0042384C" w14:paraId="3ABF2F0D" w14:textId="77777777" w:rsidTr="00A65707">
        <w:trPr>
          <w:trHeight w:val="20"/>
        </w:trPr>
        <w:tc>
          <w:tcPr>
            <w:tcW w:w="9535" w:type="dxa"/>
            <w:gridSpan w:val="3"/>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BDD6EE" w:themeFill="accent1" w:themeFillTint="66"/>
            <w:vAlign w:val="center"/>
            <w:hideMark/>
          </w:tcPr>
          <w:p w14:paraId="0818CEB8" w14:textId="77777777" w:rsidR="00A65707" w:rsidRPr="0042384C" w:rsidRDefault="00A65707" w:rsidP="007E4E23">
            <w:pPr>
              <w:jc w:val="center"/>
              <w:rPr>
                <w:rFonts w:asciiTheme="majorHAnsi" w:hAnsiTheme="majorHAnsi" w:cs="Calibri"/>
                <w:b/>
                <w:bCs/>
                <w:lang w:val="ka-GE" w:eastAsia="en-US"/>
              </w:rPr>
            </w:pPr>
            <w:r w:rsidRPr="0042384C">
              <w:rPr>
                <w:rFonts w:asciiTheme="majorHAnsi" w:hAnsiTheme="majorHAnsi" w:cs="Calibri"/>
                <w:b/>
                <w:bCs/>
                <w:lang w:val="ka-GE" w:eastAsia="en-US"/>
              </w:rPr>
              <w:t>სანქციის სახით საქონლის ჩამორთმევის შეფარდება</w:t>
            </w:r>
          </w:p>
        </w:tc>
      </w:tr>
      <w:tr w:rsidR="008873C7" w:rsidRPr="0042384C" w14:paraId="5711BE0A" w14:textId="77777777" w:rsidTr="00A65707">
        <w:trPr>
          <w:trHeight w:val="20"/>
        </w:trPr>
        <w:tc>
          <w:tcPr>
            <w:tcW w:w="233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37CE721" w14:textId="77777777" w:rsidR="00A65707" w:rsidRPr="0042384C" w:rsidRDefault="00A65707" w:rsidP="007E4E23">
            <w:pPr>
              <w:jc w:val="center"/>
              <w:rPr>
                <w:rFonts w:asciiTheme="majorHAnsi" w:hAnsiTheme="majorHAnsi" w:cs="Calibri"/>
                <w:b/>
                <w:bCs/>
                <w:lang w:val="ka-GE" w:eastAsia="en-US"/>
              </w:rPr>
            </w:pPr>
            <w:r w:rsidRPr="0042384C">
              <w:rPr>
                <w:rFonts w:asciiTheme="majorHAnsi" w:hAnsiTheme="majorHAnsi" w:cs="Calibri"/>
                <w:b/>
                <w:bCs/>
                <w:lang w:val="ka-GE" w:eastAsia="en-US"/>
              </w:rPr>
              <w:t>პერიოდი</w:t>
            </w:r>
          </w:p>
        </w:tc>
        <w:tc>
          <w:tcPr>
            <w:tcW w:w="245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9BBBBEB" w14:textId="77777777" w:rsidR="00A65707" w:rsidRPr="0042384C" w:rsidRDefault="00A65707" w:rsidP="007E4E23">
            <w:pPr>
              <w:jc w:val="center"/>
              <w:rPr>
                <w:rFonts w:asciiTheme="majorHAnsi" w:hAnsiTheme="majorHAnsi" w:cs="Calibri"/>
                <w:b/>
                <w:bCs/>
                <w:lang w:val="ka-GE" w:eastAsia="en-US"/>
              </w:rPr>
            </w:pPr>
            <w:r w:rsidRPr="0042384C">
              <w:rPr>
                <w:rFonts w:asciiTheme="majorHAnsi" w:hAnsiTheme="majorHAnsi" w:cs="Calibri"/>
                <w:b/>
                <w:bCs/>
                <w:lang w:val="ka-GE" w:eastAsia="en-US"/>
              </w:rPr>
              <w:t>სამართალდარღვევების რაოდენობა</w:t>
            </w:r>
          </w:p>
        </w:tc>
        <w:tc>
          <w:tcPr>
            <w:tcW w:w="474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2252BE5" w14:textId="77777777" w:rsidR="00A65707" w:rsidRPr="0042384C" w:rsidRDefault="00A65707" w:rsidP="007E4E23">
            <w:pPr>
              <w:jc w:val="center"/>
              <w:rPr>
                <w:rFonts w:asciiTheme="majorHAnsi" w:hAnsiTheme="majorHAnsi" w:cs="Calibri"/>
                <w:b/>
                <w:bCs/>
                <w:lang w:val="ka-GE" w:eastAsia="en-US"/>
              </w:rPr>
            </w:pPr>
            <w:r w:rsidRPr="0042384C">
              <w:rPr>
                <w:rFonts w:asciiTheme="majorHAnsi" w:hAnsiTheme="majorHAnsi" w:cs="Calibri"/>
                <w:b/>
                <w:bCs/>
                <w:lang w:val="ka-GE" w:eastAsia="en-US"/>
              </w:rPr>
              <w:t>სანქციის სახით ჩამორთმეული თანხის საერთო ოდენობა (ეკვივალენტი ეროვნულ ვალუტაში)</w:t>
            </w:r>
          </w:p>
        </w:tc>
      </w:tr>
      <w:tr w:rsidR="008873C7" w:rsidRPr="0042384C" w14:paraId="3E9CDC31" w14:textId="77777777" w:rsidTr="00A65707">
        <w:trPr>
          <w:trHeight w:val="20"/>
        </w:trPr>
        <w:tc>
          <w:tcPr>
            <w:tcW w:w="233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EB47B45" w14:textId="77777777" w:rsidR="00A65707" w:rsidRPr="0042384C" w:rsidRDefault="00A65707" w:rsidP="007E4E23">
            <w:pPr>
              <w:jc w:val="center"/>
              <w:rPr>
                <w:rFonts w:asciiTheme="majorHAnsi" w:hAnsiTheme="majorHAnsi" w:cs="Calibri"/>
                <w:lang w:val="ka-GE" w:eastAsia="en-US"/>
              </w:rPr>
            </w:pPr>
            <w:r w:rsidRPr="0042384C">
              <w:rPr>
                <w:rFonts w:asciiTheme="majorHAnsi" w:hAnsiTheme="majorHAnsi" w:cs="Calibri"/>
                <w:lang w:val="ka-GE" w:eastAsia="en-US"/>
              </w:rPr>
              <w:t>2020</w:t>
            </w:r>
          </w:p>
        </w:tc>
        <w:tc>
          <w:tcPr>
            <w:tcW w:w="245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CE9E6A6" w14:textId="77777777" w:rsidR="00A65707" w:rsidRPr="0042384C" w:rsidRDefault="00A65707" w:rsidP="007E4E23">
            <w:pPr>
              <w:jc w:val="center"/>
              <w:rPr>
                <w:rFonts w:asciiTheme="majorHAnsi" w:hAnsiTheme="majorHAnsi" w:cs="Calibri"/>
                <w:lang w:val="ka-GE" w:eastAsia="en-US"/>
              </w:rPr>
            </w:pPr>
            <w:r w:rsidRPr="0042384C">
              <w:rPr>
                <w:rFonts w:asciiTheme="majorHAnsi" w:hAnsiTheme="majorHAnsi" w:cs="Calibri"/>
                <w:lang w:val="ka-GE" w:eastAsia="en-US"/>
              </w:rPr>
              <w:t>1</w:t>
            </w:r>
          </w:p>
        </w:tc>
        <w:tc>
          <w:tcPr>
            <w:tcW w:w="474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noWrap/>
            <w:vAlign w:val="bottom"/>
            <w:hideMark/>
          </w:tcPr>
          <w:p w14:paraId="44424D50" w14:textId="77777777" w:rsidR="00A65707" w:rsidRPr="0042384C" w:rsidRDefault="00A65707" w:rsidP="007E4E23">
            <w:pPr>
              <w:jc w:val="center"/>
              <w:rPr>
                <w:rFonts w:asciiTheme="majorHAnsi" w:hAnsiTheme="majorHAnsi" w:cs="Calibri"/>
                <w:lang w:val="ka-GE" w:eastAsia="en-US"/>
              </w:rPr>
            </w:pPr>
            <w:r w:rsidRPr="0042384C">
              <w:rPr>
                <w:rFonts w:asciiTheme="majorHAnsi" w:hAnsiTheme="majorHAnsi" w:cs="Calibri"/>
                <w:lang w:val="ka-GE" w:eastAsia="en-US"/>
              </w:rPr>
              <w:t>670,441.79</w:t>
            </w:r>
          </w:p>
        </w:tc>
      </w:tr>
      <w:tr w:rsidR="008873C7" w:rsidRPr="0042384C" w14:paraId="2D69F3CE" w14:textId="77777777" w:rsidTr="00A65707">
        <w:trPr>
          <w:trHeight w:val="20"/>
        </w:trPr>
        <w:tc>
          <w:tcPr>
            <w:tcW w:w="233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2B80D62" w14:textId="77777777" w:rsidR="00A65707" w:rsidRPr="0042384C" w:rsidRDefault="00A65707" w:rsidP="007E4E23">
            <w:pPr>
              <w:jc w:val="center"/>
              <w:rPr>
                <w:rFonts w:asciiTheme="majorHAnsi" w:hAnsiTheme="majorHAnsi" w:cs="Calibri"/>
                <w:lang w:val="ka-GE" w:eastAsia="en-US"/>
              </w:rPr>
            </w:pPr>
            <w:r w:rsidRPr="0042384C">
              <w:rPr>
                <w:rFonts w:asciiTheme="majorHAnsi" w:hAnsiTheme="majorHAnsi" w:cs="Calibri"/>
                <w:lang w:val="ka-GE" w:eastAsia="en-US"/>
              </w:rPr>
              <w:t>2021</w:t>
            </w:r>
          </w:p>
        </w:tc>
        <w:tc>
          <w:tcPr>
            <w:tcW w:w="245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9E62A51" w14:textId="77777777" w:rsidR="00A65707" w:rsidRPr="0042384C" w:rsidRDefault="00A65707" w:rsidP="007E4E23">
            <w:pPr>
              <w:jc w:val="center"/>
              <w:rPr>
                <w:rFonts w:asciiTheme="majorHAnsi" w:hAnsiTheme="majorHAnsi" w:cs="Calibri"/>
                <w:lang w:val="ka-GE" w:eastAsia="en-US"/>
              </w:rPr>
            </w:pPr>
            <w:r w:rsidRPr="0042384C">
              <w:rPr>
                <w:rFonts w:asciiTheme="majorHAnsi" w:hAnsiTheme="majorHAnsi" w:cs="Calibri"/>
                <w:lang w:val="ka-GE" w:eastAsia="en-US"/>
              </w:rPr>
              <w:t>4</w:t>
            </w:r>
          </w:p>
        </w:tc>
        <w:tc>
          <w:tcPr>
            <w:tcW w:w="474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noWrap/>
            <w:vAlign w:val="bottom"/>
            <w:hideMark/>
          </w:tcPr>
          <w:p w14:paraId="5DF2245D" w14:textId="77777777" w:rsidR="00A65707" w:rsidRPr="0042384C" w:rsidRDefault="00A65707" w:rsidP="007E4E23">
            <w:pPr>
              <w:jc w:val="center"/>
              <w:rPr>
                <w:rFonts w:asciiTheme="majorHAnsi" w:hAnsiTheme="majorHAnsi" w:cs="Calibri"/>
                <w:lang w:val="ka-GE" w:eastAsia="en-US"/>
              </w:rPr>
            </w:pPr>
            <w:r w:rsidRPr="0042384C">
              <w:rPr>
                <w:rFonts w:asciiTheme="majorHAnsi" w:hAnsiTheme="majorHAnsi" w:cs="Calibri"/>
                <w:lang w:val="ka-GE" w:eastAsia="en-US"/>
              </w:rPr>
              <w:t>1,832,796.09</w:t>
            </w:r>
          </w:p>
        </w:tc>
      </w:tr>
      <w:tr w:rsidR="008873C7" w:rsidRPr="0042384C" w14:paraId="79E6A38B" w14:textId="77777777" w:rsidTr="00A65707">
        <w:trPr>
          <w:trHeight w:val="20"/>
        </w:trPr>
        <w:tc>
          <w:tcPr>
            <w:tcW w:w="233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4BAEE84" w14:textId="77777777" w:rsidR="00A65707" w:rsidRPr="0042384C" w:rsidRDefault="00A65707" w:rsidP="007E4E23">
            <w:pPr>
              <w:jc w:val="center"/>
              <w:rPr>
                <w:rFonts w:asciiTheme="majorHAnsi" w:hAnsiTheme="majorHAnsi" w:cs="Calibri"/>
                <w:lang w:val="ka-GE" w:eastAsia="en-US"/>
              </w:rPr>
            </w:pPr>
            <w:r w:rsidRPr="0042384C">
              <w:rPr>
                <w:rFonts w:asciiTheme="majorHAnsi" w:hAnsiTheme="majorHAnsi" w:cs="Calibri"/>
                <w:lang w:val="ka-GE" w:eastAsia="en-US"/>
              </w:rPr>
              <w:t>2022</w:t>
            </w:r>
          </w:p>
        </w:tc>
        <w:tc>
          <w:tcPr>
            <w:tcW w:w="245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25D1F23" w14:textId="77777777" w:rsidR="00A65707" w:rsidRPr="0042384C" w:rsidRDefault="00A65707" w:rsidP="007E4E23">
            <w:pPr>
              <w:jc w:val="center"/>
              <w:rPr>
                <w:rFonts w:asciiTheme="majorHAnsi" w:hAnsiTheme="majorHAnsi" w:cs="Calibri"/>
                <w:lang w:val="ka-GE" w:eastAsia="en-US"/>
              </w:rPr>
            </w:pPr>
            <w:r w:rsidRPr="0042384C">
              <w:rPr>
                <w:rFonts w:asciiTheme="majorHAnsi" w:hAnsiTheme="majorHAnsi" w:cs="Calibri"/>
                <w:lang w:val="ka-GE" w:eastAsia="en-US"/>
              </w:rPr>
              <w:t>9</w:t>
            </w:r>
          </w:p>
        </w:tc>
        <w:tc>
          <w:tcPr>
            <w:tcW w:w="474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noWrap/>
            <w:vAlign w:val="bottom"/>
            <w:hideMark/>
          </w:tcPr>
          <w:p w14:paraId="69804BBE" w14:textId="77777777" w:rsidR="00A65707" w:rsidRPr="0042384C" w:rsidRDefault="00A65707" w:rsidP="007E4E23">
            <w:pPr>
              <w:jc w:val="center"/>
              <w:rPr>
                <w:rFonts w:asciiTheme="majorHAnsi" w:hAnsiTheme="majorHAnsi" w:cs="Calibri"/>
                <w:lang w:val="ka-GE" w:eastAsia="en-US"/>
              </w:rPr>
            </w:pPr>
            <w:r w:rsidRPr="0042384C">
              <w:rPr>
                <w:rFonts w:asciiTheme="majorHAnsi" w:hAnsiTheme="majorHAnsi" w:cs="Calibri"/>
                <w:lang w:val="ka-GE" w:eastAsia="en-US"/>
              </w:rPr>
              <w:t>3,520,379.87</w:t>
            </w:r>
          </w:p>
        </w:tc>
      </w:tr>
    </w:tbl>
    <w:p w14:paraId="6A51ACC8" w14:textId="77777777" w:rsidR="00A65707" w:rsidRPr="0042384C" w:rsidRDefault="00A65707" w:rsidP="00A65707">
      <w:pPr>
        <w:ind w:firstLine="360"/>
        <w:jc w:val="both"/>
        <w:rPr>
          <w:rFonts w:asciiTheme="majorHAnsi" w:hAnsiTheme="majorHAnsi" w:cs="Calibri"/>
        </w:rPr>
      </w:pPr>
    </w:p>
    <w:p w14:paraId="571B39D7" w14:textId="2E4739D3" w:rsidR="00BF2477" w:rsidRPr="0042384C" w:rsidRDefault="00A65707" w:rsidP="00AB54D7">
      <w:pPr>
        <w:ind w:firstLine="360"/>
        <w:jc w:val="both"/>
        <w:rPr>
          <w:rFonts w:asciiTheme="majorHAnsi" w:hAnsiTheme="majorHAnsi" w:cs="Calibri"/>
        </w:rPr>
      </w:pPr>
      <w:r w:rsidRPr="0042384C">
        <w:rPr>
          <w:rFonts w:asciiTheme="majorHAnsi" w:hAnsiTheme="majorHAnsi" w:cs="Calibri"/>
        </w:rPr>
        <w:t>გარდა ამისა:</w:t>
      </w:r>
    </w:p>
    <w:p w14:paraId="7D822ACA" w14:textId="05B0911B" w:rsidR="00A65707" w:rsidRPr="0042384C" w:rsidRDefault="00A65707" w:rsidP="00AB54D7">
      <w:pPr>
        <w:ind w:firstLine="360"/>
        <w:jc w:val="both"/>
        <w:rPr>
          <w:rFonts w:asciiTheme="majorHAnsi" w:hAnsiTheme="majorHAnsi" w:cs="Calibri"/>
        </w:rPr>
      </w:pPr>
    </w:p>
    <w:p w14:paraId="2D69A052" w14:textId="4EFD0F47" w:rsidR="00A65707" w:rsidRPr="0042384C" w:rsidRDefault="00A65707" w:rsidP="00A65707">
      <w:pPr>
        <w:spacing w:line="276" w:lineRule="auto"/>
        <w:ind w:firstLine="720"/>
        <w:jc w:val="both"/>
        <w:rPr>
          <w:rFonts w:asciiTheme="majorHAnsi" w:eastAsia="Calibri" w:hAnsiTheme="majorHAnsi"/>
          <w:lang w:eastAsia="en-US"/>
        </w:rPr>
      </w:pPr>
      <w:r w:rsidRPr="0042384C">
        <w:rPr>
          <w:rFonts w:asciiTheme="majorHAnsi" w:eastAsia="Calibri" w:hAnsiTheme="majorHAnsi"/>
          <w:lang w:eastAsia="en-US"/>
        </w:rPr>
        <w:t>საბაჟო დეკლარაციასა და მის თანმხლებ დოკუმენტში არასწორი მონაცემის არსებობისას იმპორტის გადასახდელის ოდენობის შემცირების მართლსაწინააღმდეგო ქმედების ფაქტებზე საქართველოს საბაჟო კოდექსის 167-ე მუხლით გათვალისწინებული პასუხისმგებლობა</w:t>
      </w:r>
      <w:r w:rsidRPr="0042384C">
        <w:rPr>
          <w:rFonts w:asciiTheme="majorHAnsi" w:eastAsia="Calibri" w:hAnsiTheme="majorHAnsi"/>
          <w:b/>
          <w:vertAlign w:val="superscript"/>
          <w:lang w:eastAsia="en-US"/>
        </w:rPr>
        <w:endnoteReference w:id="2"/>
      </w:r>
      <w:r w:rsidRPr="0042384C">
        <w:rPr>
          <w:rFonts w:asciiTheme="majorHAnsi" w:eastAsia="Calibri" w:hAnsiTheme="majorHAnsi"/>
          <w:b/>
          <w:lang w:eastAsia="en-US"/>
        </w:rPr>
        <w:t xml:space="preserve"> </w:t>
      </w:r>
      <w:r w:rsidRPr="0042384C">
        <w:rPr>
          <w:rFonts w:asciiTheme="majorHAnsi" w:eastAsia="Calibri" w:hAnsiTheme="majorHAnsi"/>
          <w:lang w:eastAsia="en-US"/>
        </w:rPr>
        <w:t xml:space="preserve">დაკისრებულ იქნა </w:t>
      </w:r>
      <w:r w:rsidRPr="0042384C">
        <w:rPr>
          <w:rFonts w:asciiTheme="majorHAnsi" w:eastAsia="Calibri" w:hAnsiTheme="majorHAnsi"/>
          <w:b/>
          <w:lang w:eastAsia="en-US"/>
        </w:rPr>
        <w:t>7 318 შემთხვევაში</w:t>
      </w:r>
      <w:r w:rsidRPr="0042384C">
        <w:rPr>
          <w:rFonts w:asciiTheme="majorHAnsi" w:eastAsia="Calibri" w:hAnsiTheme="majorHAnsi"/>
          <w:lang w:eastAsia="en-US"/>
        </w:rPr>
        <w:t xml:space="preserve"> (2020 წელს – 1 692 შემთხვევაში, 2021 წელს – 2 593 შემთხვევაში, 2022 წელს – 3 033 შემთხვევაში).</w:t>
      </w:r>
    </w:p>
    <w:p w14:paraId="48383192" w14:textId="7FD06FF7" w:rsidR="00A65707" w:rsidRPr="0042384C" w:rsidRDefault="00A65707" w:rsidP="00A65707">
      <w:pPr>
        <w:spacing w:line="276" w:lineRule="auto"/>
        <w:ind w:firstLine="720"/>
        <w:jc w:val="both"/>
        <w:rPr>
          <w:rFonts w:asciiTheme="majorHAnsi" w:eastAsia="Calibri" w:hAnsiTheme="majorHAnsi"/>
          <w:lang w:eastAsia="en-US"/>
        </w:rPr>
      </w:pPr>
      <w:r w:rsidRPr="0042384C">
        <w:rPr>
          <w:rFonts w:asciiTheme="majorHAnsi" w:eastAsia="Calibri" w:hAnsiTheme="majorHAnsi"/>
          <w:lang w:eastAsia="en-US"/>
        </w:rPr>
        <w:t xml:space="preserve">საქართველოს საბაჟო საზღვარზე საქონლის საბაჟო კონტროლის გვერდის ავლით ან მისგან მალულად გადატანის/გადმოტანის მართლსაწინააღმდეგო ქმედების ფაქტებზე საქართველოს საბაჟო კოდექსის 168-ე მუხლის პირველი და მე-2 ნაწილებით გათვალისწინებული პასუხისმგებლობა დაკისრებულ იქნა </w:t>
      </w:r>
      <w:r w:rsidRPr="0042384C">
        <w:rPr>
          <w:rFonts w:asciiTheme="majorHAnsi" w:eastAsia="Calibri" w:hAnsiTheme="majorHAnsi"/>
          <w:b/>
          <w:lang w:eastAsia="en-US"/>
        </w:rPr>
        <w:t>1 437 შემთხვევაში</w:t>
      </w:r>
      <w:r w:rsidRPr="0042384C">
        <w:rPr>
          <w:rFonts w:asciiTheme="majorHAnsi" w:eastAsia="Calibri" w:hAnsiTheme="majorHAnsi"/>
          <w:lang w:eastAsia="en-US"/>
        </w:rPr>
        <w:t xml:space="preserve"> (2020 წელს – 325 შემთხვევაში, 2021 წელს – 532 შემთხვევაში, 2022 წელს – 580 შემთხვევაში).</w:t>
      </w:r>
    </w:p>
    <w:p w14:paraId="2ED28854" w14:textId="7A645B20" w:rsidR="00A65707" w:rsidRPr="0042384C" w:rsidRDefault="00A65707" w:rsidP="00A65707">
      <w:pPr>
        <w:spacing w:line="276" w:lineRule="auto"/>
        <w:ind w:firstLine="720"/>
        <w:jc w:val="both"/>
        <w:rPr>
          <w:rFonts w:asciiTheme="majorHAnsi" w:eastAsia="Calibri" w:hAnsiTheme="majorHAnsi"/>
          <w:lang w:eastAsia="en-US"/>
        </w:rPr>
      </w:pPr>
      <w:r w:rsidRPr="0042384C">
        <w:rPr>
          <w:rFonts w:asciiTheme="majorHAnsi" w:eastAsia="Calibri" w:hAnsiTheme="majorHAnsi"/>
          <w:lang w:eastAsia="en-US"/>
        </w:rPr>
        <w:t xml:space="preserve">დანაშაულის ნიშნებზე, რომელიც უკავშირდებოდა საქონლის წონის/რაოდენობის, დასახელების/აღწერილობის, ღირებულების, სასაქონლო კოდისა და </w:t>
      </w:r>
      <w:r w:rsidR="00E96F2D" w:rsidRPr="0042384C">
        <w:rPr>
          <w:rFonts w:asciiTheme="majorHAnsi" w:eastAsia="Calibri" w:hAnsiTheme="majorHAnsi"/>
          <w:lang w:eastAsia="en-US"/>
        </w:rPr>
        <w:t>მსგავსი</w:t>
      </w:r>
      <w:r w:rsidRPr="0042384C">
        <w:rPr>
          <w:rFonts w:asciiTheme="majorHAnsi" w:eastAsia="Calibri" w:hAnsiTheme="majorHAnsi"/>
          <w:lang w:eastAsia="en-US"/>
        </w:rPr>
        <w:t xml:space="preserve"> მონაცემების არასწორად ასახვას, საქმის მასალების შესაბამის საგამოძიებო ორგანოსთვის გადაგზავნა განხორციელდა </w:t>
      </w:r>
      <w:r w:rsidRPr="0042384C">
        <w:rPr>
          <w:rFonts w:asciiTheme="majorHAnsi" w:eastAsia="Calibri" w:hAnsiTheme="majorHAnsi"/>
          <w:b/>
          <w:lang w:eastAsia="en-US"/>
        </w:rPr>
        <w:t>641 შემთხვევაში</w:t>
      </w:r>
      <w:r w:rsidRPr="0042384C">
        <w:rPr>
          <w:rFonts w:asciiTheme="majorHAnsi" w:eastAsia="Calibri" w:hAnsiTheme="majorHAnsi"/>
          <w:lang w:eastAsia="en-US"/>
        </w:rPr>
        <w:t xml:space="preserve"> (2020 წელს – 135 შემთხვევაში, 2021 წელს – 291 შემთხვევაში, 2022 წელს – 215 შემთხვევაში).</w:t>
      </w:r>
    </w:p>
    <w:p w14:paraId="5DC4D3A2" w14:textId="7708D953" w:rsidR="00A65707" w:rsidRPr="0042384C" w:rsidRDefault="00A65707" w:rsidP="00A65707">
      <w:pPr>
        <w:spacing w:line="276" w:lineRule="auto"/>
        <w:ind w:firstLine="720"/>
        <w:jc w:val="both"/>
        <w:rPr>
          <w:rFonts w:asciiTheme="majorHAnsi" w:eastAsia="Calibri" w:hAnsiTheme="majorHAnsi"/>
          <w:lang w:eastAsia="en-US"/>
        </w:rPr>
      </w:pPr>
      <w:r w:rsidRPr="0042384C">
        <w:rPr>
          <w:rFonts w:asciiTheme="majorHAnsi" w:eastAsia="Calibri" w:hAnsiTheme="majorHAnsi"/>
          <w:lang w:eastAsia="en-US"/>
        </w:rPr>
        <w:t>საქონელი გაფორმებულ იქნა 981 283</w:t>
      </w:r>
      <w:r w:rsidRPr="0042384C">
        <w:rPr>
          <w:rFonts w:asciiTheme="majorHAnsi" w:eastAsia="Calibri" w:hAnsiTheme="majorHAnsi"/>
          <w:b/>
          <w:lang w:eastAsia="en-US"/>
        </w:rPr>
        <w:t xml:space="preserve"> </w:t>
      </w:r>
      <w:r w:rsidRPr="0042384C">
        <w:rPr>
          <w:rFonts w:asciiTheme="majorHAnsi" w:eastAsia="Calibri" w:hAnsiTheme="majorHAnsi"/>
          <w:lang w:eastAsia="en-US"/>
        </w:rPr>
        <w:t xml:space="preserve">საბაჟო დეკლარაციით/რეექსპორტის დეკლარაციით, რომელთა რაოდენობა წლების მიხედვით მოცემულია ქვემოთ </w:t>
      </w:r>
      <w:r w:rsidRPr="0042384C">
        <w:rPr>
          <w:rFonts w:asciiTheme="majorHAnsi" w:eastAsia="Calibri" w:hAnsiTheme="majorHAnsi"/>
          <w:lang w:eastAsia="en-US"/>
        </w:rPr>
        <w:lastRenderedPageBreak/>
        <w:t xml:space="preserve">წარმოდგენილ ცხრილში (აღნიშნული ცხრილი ასევე მოიცავს პასუხისმგებლობის დაკისრებისა და საქონლის წონის/რაოდენობის, დასახელების/აღწერილობის, ღირებულების, სასაქონლო კოდისა და </w:t>
      </w:r>
      <w:r w:rsidR="00E96F2D" w:rsidRPr="0042384C">
        <w:rPr>
          <w:rFonts w:asciiTheme="majorHAnsi" w:eastAsia="Calibri" w:hAnsiTheme="majorHAnsi"/>
          <w:lang w:eastAsia="en-US"/>
        </w:rPr>
        <w:t>მსგავსი</w:t>
      </w:r>
      <w:r w:rsidRPr="0042384C">
        <w:rPr>
          <w:rFonts w:asciiTheme="majorHAnsi" w:eastAsia="Calibri" w:hAnsiTheme="majorHAnsi"/>
          <w:lang w:eastAsia="en-US"/>
        </w:rPr>
        <w:t xml:space="preserve"> მონაცემების არასწორად ასახვასთან დაკავშირებით საგამოძიებო ორგანოში გაგზავნილი საქმეების მაჩვენებელს):</w:t>
      </w:r>
    </w:p>
    <w:p w14:paraId="62F7D4E0" w14:textId="77777777" w:rsidR="00A65707" w:rsidRPr="0042384C" w:rsidRDefault="00A65707" w:rsidP="00A65707">
      <w:pPr>
        <w:spacing w:line="276" w:lineRule="auto"/>
        <w:ind w:firstLine="720"/>
        <w:jc w:val="both"/>
        <w:rPr>
          <w:rFonts w:asciiTheme="majorHAnsi" w:eastAsia="Calibri" w:hAnsiTheme="majorHAnsi"/>
          <w:lang w:eastAsia="en-US"/>
        </w:rPr>
      </w:pPr>
    </w:p>
    <w:tbl>
      <w:tblPr>
        <w:tblW w:w="9359" w:type="dxa"/>
        <w:tblInd w:w="-5" w:type="dxa"/>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firstRow="1" w:lastRow="0" w:firstColumn="1" w:lastColumn="0" w:noHBand="0" w:noVBand="1"/>
      </w:tblPr>
      <w:tblGrid>
        <w:gridCol w:w="1253"/>
        <w:gridCol w:w="2008"/>
        <w:gridCol w:w="1176"/>
        <w:gridCol w:w="586"/>
        <w:gridCol w:w="1062"/>
        <w:gridCol w:w="551"/>
        <w:gridCol w:w="1649"/>
        <w:gridCol w:w="1074"/>
      </w:tblGrid>
      <w:tr w:rsidR="008873C7" w:rsidRPr="0042384C" w14:paraId="6501CF67" w14:textId="77777777" w:rsidTr="00A65707">
        <w:trPr>
          <w:trHeight w:val="20"/>
        </w:trPr>
        <w:tc>
          <w:tcPr>
            <w:tcW w:w="1115" w:type="dxa"/>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BDD7EE"/>
            <w:vAlign w:val="center"/>
            <w:hideMark/>
          </w:tcPr>
          <w:p w14:paraId="58AE8C36" w14:textId="77777777" w:rsidR="00A65707" w:rsidRPr="0042384C" w:rsidRDefault="00A65707" w:rsidP="00A65707">
            <w:pPr>
              <w:rPr>
                <w:rFonts w:asciiTheme="majorHAnsi" w:hAnsiTheme="majorHAnsi" w:cs="Calibri"/>
                <w:b/>
                <w:bCs/>
                <w:lang w:eastAsia="en-US"/>
              </w:rPr>
            </w:pPr>
            <w:r w:rsidRPr="0042384C">
              <w:rPr>
                <w:rFonts w:asciiTheme="majorHAnsi" w:hAnsiTheme="majorHAnsi" w:cs="Calibri"/>
                <w:b/>
                <w:bCs/>
                <w:lang w:eastAsia="en-US"/>
              </w:rPr>
              <w:t>პერიოდი</w:t>
            </w:r>
          </w:p>
        </w:tc>
        <w:tc>
          <w:tcPr>
            <w:tcW w:w="1585" w:type="dxa"/>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BDD7EE"/>
            <w:vAlign w:val="center"/>
            <w:hideMark/>
          </w:tcPr>
          <w:p w14:paraId="3B45D09B" w14:textId="77777777" w:rsidR="00A65707" w:rsidRPr="0042384C" w:rsidRDefault="00A65707" w:rsidP="00A65707">
            <w:pPr>
              <w:jc w:val="center"/>
              <w:rPr>
                <w:rFonts w:asciiTheme="majorHAnsi" w:hAnsiTheme="majorHAnsi" w:cs="Calibri"/>
                <w:b/>
                <w:bCs/>
                <w:lang w:eastAsia="en-US"/>
              </w:rPr>
            </w:pPr>
            <w:r w:rsidRPr="0042384C">
              <w:rPr>
                <w:rFonts w:asciiTheme="majorHAnsi" w:hAnsiTheme="majorHAnsi" w:cs="Calibri"/>
                <w:b/>
                <w:bCs/>
                <w:lang w:eastAsia="en-US"/>
              </w:rPr>
              <w:t>დეკლარაციების რაოდენობა</w:t>
            </w:r>
          </w:p>
        </w:tc>
        <w:tc>
          <w:tcPr>
            <w:tcW w:w="4073" w:type="dxa"/>
            <w:gridSpan w:val="4"/>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BDD7EE"/>
            <w:vAlign w:val="center"/>
            <w:hideMark/>
          </w:tcPr>
          <w:p w14:paraId="00608DC0" w14:textId="77777777" w:rsidR="00A65707" w:rsidRPr="0042384C" w:rsidRDefault="00A65707" w:rsidP="00A65707">
            <w:pPr>
              <w:jc w:val="center"/>
              <w:rPr>
                <w:rFonts w:asciiTheme="majorHAnsi" w:hAnsiTheme="majorHAnsi" w:cs="Calibri"/>
                <w:b/>
                <w:lang w:eastAsia="en-US"/>
              </w:rPr>
            </w:pPr>
            <w:r w:rsidRPr="0042384C">
              <w:rPr>
                <w:rFonts w:asciiTheme="majorHAnsi" w:hAnsiTheme="majorHAnsi" w:cs="Calibri"/>
                <w:b/>
                <w:lang w:eastAsia="en-US"/>
              </w:rPr>
              <w:t>საბაჟო სამართალდარღვევები</w:t>
            </w:r>
          </w:p>
        </w:tc>
        <w:tc>
          <w:tcPr>
            <w:tcW w:w="2586" w:type="dxa"/>
            <w:gridSpan w:val="2"/>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BDD7EE"/>
            <w:vAlign w:val="center"/>
            <w:hideMark/>
          </w:tcPr>
          <w:p w14:paraId="132A9E26" w14:textId="7FD602EC" w:rsidR="00A65707" w:rsidRPr="0042384C" w:rsidRDefault="00A65707" w:rsidP="00A65707">
            <w:pPr>
              <w:jc w:val="center"/>
              <w:rPr>
                <w:rFonts w:asciiTheme="majorHAnsi" w:hAnsiTheme="majorHAnsi" w:cs="Calibri"/>
                <w:b/>
                <w:lang w:eastAsia="en-US"/>
              </w:rPr>
            </w:pPr>
            <w:r w:rsidRPr="0042384C">
              <w:rPr>
                <w:rFonts w:asciiTheme="majorHAnsi" w:hAnsiTheme="majorHAnsi" w:cs="Calibri"/>
                <w:b/>
                <w:lang w:eastAsia="en-US"/>
              </w:rPr>
              <w:t>დანაშაულის ნიშნების გამოვლენის გამო სამართალდა</w:t>
            </w:r>
            <w:r w:rsidR="00E96F2D" w:rsidRPr="0042384C">
              <w:rPr>
                <w:rFonts w:asciiTheme="majorHAnsi" w:hAnsiTheme="majorHAnsi" w:cs="Calibri"/>
                <w:b/>
                <w:lang w:eastAsia="en-US"/>
              </w:rPr>
              <w:t>მ</w:t>
            </w:r>
            <w:r w:rsidRPr="0042384C">
              <w:rPr>
                <w:rFonts w:asciiTheme="majorHAnsi" w:hAnsiTheme="majorHAnsi" w:cs="Calibri"/>
                <w:b/>
                <w:lang w:eastAsia="en-US"/>
              </w:rPr>
              <w:t>ცავებში გაგზავნილი</w:t>
            </w:r>
          </w:p>
        </w:tc>
      </w:tr>
      <w:tr w:rsidR="008873C7" w:rsidRPr="0042384C" w14:paraId="284B5DDF" w14:textId="77777777" w:rsidTr="00A65707">
        <w:trPr>
          <w:trHeight w:val="20"/>
        </w:trPr>
        <w:tc>
          <w:tcPr>
            <w:tcW w:w="0" w:type="auto"/>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17E8216" w14:textId="77777777" w:rsidR="00A65707" w:rsidRPr="0042384C" w:rsidRDefault="00A65707" w:rsidP="00A65707">
            <w:pPr>
              <w:spacing w:line="256" w:lineRule="auto"/>
              <w:rPr>
                <w:rFonts w:asciiTheme="majorHAnsi" w:hAnsiTheme="majorHAnsi" w:cs="Calibri"/>
                <w:b/>
                <w:bCs/>
                <w:lang w:eastAsia="en-US"/>
              </w:rPr>
            </w:pPr>
          </w:p>
        </w:tc>
        <w:tc>
          <w:tcPr>
            <w:tcW w:w="0" w:type="auto"/>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D513F9D" w14:textId="77777777" w:rsidR="00A65707" w:rsidRPr="0042384C" w:rsidRDefault="00A65707" w:rsidP="00A65707">
            <w:pPr>
              <w:spacing w:line="256" w:lineRule="auto"/>
              <w:rPr>
                <w:rFonts w:asciiTheme="majorHAnsi" w:hAnsiTheme="majorHAnsi" w:cs="Calibri"/>
                <w:b/>
                <w:bCs/>
                <w:lang w:eastAsia="en-US"/>
              </w:rPr>
            </w:pPr>
          </w:p>
        </w:tc>
        <w:tc>
          <w:tcPr>
            <w:tcW w:w="2141" w:type="dxa"/>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BDD7EE"/>
            <w:vAlign w:val="center"/>
            <w:hideMark/>
          </w:tcPr>
          <w:p w14:paraId="710237A8" w14:textId="77777777" w:rsidR="00A65707" w:rsidRPr="0042384C" w:rsidRDefault="00A65707" w:rsidP="00A65707">
            <w:pPr>
              <w:jc w:val="center"/>
              <w:rPr>
                <w:rFonts w:asciiTheme="majorHAnsi" w:hAnsiTheme="majorHAnsi" w:cs="Calibri"/>
                <w:b/>
                <w:lang w:eastAsia="en-US"/>
              </w:rPr>
            </w:pPr>
            <w:r w:rsidRPr="0042384C">
              <w:rPr>
                <w:rFonts w:asciiTheme="majorHAnsi" w:hAnsiTheme="majorHAnsi" w:cs="Calibri"/>
                <w:b/>
                <w:lang w:eastAsia="en-US"/>
              </w:rPr>
              <w:t>მუხლი 168</w:t>
            </w:r>
          </w:p>
        </w:tc>
        <w:tc>
          <w:tcPr>
            <w:tcW w:w="1932" w:type="dxa"/>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BDD7EE"/>
            <w:vAlign w:val="center"/>
            <w:hideMark/>
          </w:tcPr>
          <w:p w14:paraId="7D1E2F20" w14:textId="77777777" w:rsidR="00A65707" w:rsidRPr="0042384C" w:rsidRDefault="00A65707" w:rsidP="00A65707">
            <w:pPr>
              <w:jc w:val="center"/>
              <w:rPr>
                <w:rFonts w:asciiTheme="majorHAnsi" w:hAnsiTheme="majorHAnsi" w:cs="Calibri"/>
                <w:b/>
                <w:lang w:eastAsia="en-US"/>
              </w:rPr>
            </w:pPr>
            <w:r w:rsidRPr="0042384C">
              <w:rPr>
                <w:rFonts w:asciiTheme="majorHAnsi" w:hAnsiTheme="majorHAnsi" w:cs="Calibri"/>
                <w:b/>
                <w:lang w:eastAsia="en-US"/>
              </w:rPr>
              <w:t>მუხლი 167</w:t>
            </w:r>
          </w:p>
        </w:tc>
        <w:tc>
          <w:tcPr>
            <w:tcW w:w="0" w:type="auto"/>
            <w:gridSpan w:val="2"/>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A02CBA6" w14:textId="77777777" w:rsidR="00A65707" w:rsidRPr="0042384C" w:rsidRDefault="00A65707" w:rsidP="00A65707">
            <w:pPr>
              <w:spacing w:line="256" w:lineRule="auto"/>
              <w:rPr>
                <w:rFonts w:asciiTheme="majorHAnsi" w:hAnsiTheme="majorHAnsi" w:cs="Calibri"/>
                <w:b/>
                <w:lang w:eastAsia="en-US"/>
              </w:rPr>
            </w:pPr>
          </w:p>
        </w:tc>
      </w:tr>
      <w:tr w:rsidR="008873C7" w:rsidRPr="0042384C" w14:paraId="738D05AB" w14:textId="77777777" w:rsidTr="00A65707">
        <w:trPr>
          <w:trHeight w:val="20"/>
        </w:trPr>
        <w:tc>
          <w:tcPr>
            <w:tcW w:w="0" w:type="auto"/>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E5D012F" w14:textId="77777777" w:rsidR="00A65707" w:rsidRPr="0042384C" w:rsidRDefault="00A65707" w:rsidP="00A65707">
            <w:pPr>
              <w:spacing w:line="256" w:lineRule="auto"/>
              <w:rPr>
                <w:rFonts w:asciiTheme="majorHAnsi" w:hAnsiTheme="majorHAnsi" w:cs="Calibri"/>
                <w:b/>
                <w:bCs/>
                <w:lang w:eastAsia="en-US"/>
              </w:rPr>
            </w:pPr>
          </w:p>
        </w:tc>
        <w:tc>
          <w:tcPr>
            <w:tcW w:w="0" w:type="auto"/>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1036BBA" w14:textId="77777777" w:rsidR="00A65707" w:rsidRPr="0042384C" w:rsidRDefault="00A65707" w:rsidP="00A65707">
            <w:pPr>
              <w:spacing w:line="256" w:lineRule="auto"/>
              <w:rPr>
                <w:rFonts w:asciiTheme="majorHAnsi" w:hAnsiTheme="majorHAnsi" w:cs="Calibri"/>
                <w:b/>
                <w:bCs/>
                <w:lang w:eastAsia="en-US"/>
              </w:rPr>
            </w:pPr>
          </w:p>
        </w:tc>
        <w:tc>
          <w:tcPr>
            <w:tcW w:w="126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BDD7EE"/>
            <w:vAlign w:val="center"/>
            <w:hideMark/>
          </w:tcPr>
          <w:p w14:paraId="7B487796" w14:textId="77777777" w:rsidR="00A65707" w:rsidRPr="0042384C" w:rsidRDefault="00A65707" w:rsidP="00A65707">
            <w:pPr>
              <w:jc w:val="center"/>
              <w:rPr>
                <w:rFonts w:asciiTheme="majorHAnsi" w:hAnsiTheme="majorHAnsi" w:cs="Calibri"/>
                <w:b/>
                <w:lang w:eastAsia="en-US"/>
              </w:rPr>
            </w:pPr>
            <w:r w:rsidRPr="0042384C">
              <w:rPr>
                <w:rFonts w:asciiTheme="majorHAnsi" w:hAnsiTheme="majorHAnsi" w:cs="Calibri"/>
                <w:b/>
                <w:lang w:eastAsia="en-US"/>
              </w:rPr>
              <w:t>რაოდ.</w:t>
            </w:r>
          </w:p>
        </w:tc>
        <w:tc>
          <w:tcPr>
            <w:tcW w:w="881"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BDD7EE"/>
            <w:vAlign w:val="center"/>
          </w:tcPr>
          <w:p w14:paraId="2620BE77" w14:textId="77777777" w:rsidR="00A65707" w:rsidRPr="0042384C" w:rsidRDefault="00A65707" w:rsidP="00A65707">
            <w:pPr>
              <w:jc w:val="center"/>
              <w:rPr>
                <w:rFonts w:asciiTheme="majorHAnsi" w:hAnsiTheme="majorHAnsi" w:cs="Calibri"/>
                <w:b/>
                <w:lang w:eastAsia="en-US"/>
              </w:rPr>
            </w:pPr>
          </w:p>
        </w:tc>
        <w:tc>
          <w:tcPr>
            <w:tcW w:w="1099"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BDD7EE"/>
            <w:vAlign w:val="center"/>
            <w:hideMark/>
          </w:tcPr>
          <w:p w14:paraId="51379BBE" w14:textId="77777777" w:rsidR="00A65707" w:rsidRPr="0042384C" w:rsidRDefault="00A65707" w:rsidP="00A65707">
            <w:pPr>
              <w:jc w:val="center"/>
              <w:rPr>
                <w:rFonts w:asciiTheme="majorHAnsi" w:hAnsiTheme="majorHAnsi" w:cs="Calibri"/>
                <w:b/>
                <w:lang w:eastAsia="en-US"/>
              </w:rPr>
            </w:pPr>
            <w:r w:rsidRPr="0042384C">
              <w:rPr>
                <w:rFonts w:asciiTheme="majorHAnsi" w:hAnsiTheme="majorHAnsi" w:cs="Calibri"/>
                <w:b/>
                <w:lang w:eastAsia="en-US"/>
              </w:rPr>
              <w:t>რაოდ.</w:t>
            </w:r>
          </w:p>
        </w:tc>
        <w:tc>
          <w:tcPr>
            <w:tcW w:w="833"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BDD7EE"/>
            <w:vAlign w:val="center"/>
          </w:tcPr>
          <w:p w14:paraId="5D5EB0EC" w14:textId="77777777" w:rsidR="00A65707" w:rsidRPr="0042384C" w:rsidRDefault="00A65707" w:rsidP="00A65707">
            <w:pPr>
              <w:jc w:val="center"/>
              <w:rPr>
                <w:rFonts w:asciiTheme="majorHAnsi" w:hAnsiTheme="majorHAnsi" w:cs="Calibri"/>
                <w:b/>
                <w:lang w:eastAsia="en-US"/>
              </w:rPr>
            </w:pPr>
          </w:p>
        </w:tc>
        <w:tc>
          <w:tcPr>
            <w:tcW w:w="1417"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BDD7EE"/>
            <w:vAlign w:val="center"/>
            <w:hideMark/>
          </w:tcPr>
          <w:p w14:paraId="14B632F7" w14:textId="77777777" w:rsidR="00A65707" w:rsidRPr="0042384C" w:rsidRDefault="00A65707" w:rsidP="00A65707">
            <w:pPr>
              <w:jc w:val="center"/>
              <w:rPr>
                <w:rFonts w:asciiTheme="majorHAnsi" w:hAnsiTheme="majorHAnsi" w:cs="Calibri"/>
                <w:b/>
                <w:lang w:eastAsia="en-US"/>
              </w:rPr>
            </w:pPr>
            <w:r w:rsidRPr="0042384C">
              <w:rPr>
                <w:rFonts w:asciiTheme="majorHAnsi" w:hAnsiTheme="majorHAnsi" w:cs="Calibri"/>
                <w:b/>
                <w:lang w:eastAsia="en-US"/>
              </w:rPr>
              <w:t>რაოდ.</w:t>
            </w:r>
          </w:p>
        </w:tc>
        <w:tc>
          <w:tcPr>
            <w:tcW w:w="1169"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BDD7EE"/>
            <w:vAlign w:val="center"/>
          </w:tcPr>
          <w:p w14:paraId="2CCDF06B" w14:textId="77777777" w:rsidR="00A65707" w:rsidRPr="0042384C" w:rsidRDefault="00A65707" w:rsidP="00A65707">
            <w:pPr>
              <w:jc w:val="center"/>
              <w:rPr>
                <w:rFonts w:asciiTheme="majorHAnsi" w:hAnsiTheme="majorHAnsi" w:cs="Calibri"/>
                <w:b/>
                <w:lang w:eastAsia="en-US"/>
              </w:rPr>
            </w:pPr>
          </w:p>
        </w:tc>
      </w:tr>
      <w:tr w:rsidR="008873C7" w:rsidRPr="0042384C" w14:paraId="5A098CD2" w14:textId="77777777" w:rsidTr="00A65707">
        <w:trPr>
          <w:trHeight w:val="20"/>
        </w:trPr>
        <w:tc>
          <w:tcPr>
            <w:tcW w:w="111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41F784C" w14:textId="77777777" w:rsidR="00A65707" w:rsidRPr="0042384C" w:rsidRDefault="00A65707" w:rsidP="00A65707">
            <w:pPr>
              <w:jc w:val="both"/>
              <w:rPr>
                <w:rFonts w:asciiTheme="majorHAnsi" w:hAnsiTheme="majorHAnsi" w:cs="Calibri"/>
                <w:b/>
                <w:bCs/>
                <w:lang w:eastAsia="en-US"/>
              </w:rPr>
            </w:pPr>
            <w:r w:rsidRPr="0042384C">
              <w:rPr>
                <w:rFonts w:asciiTheme="majorHAnsi" w:hAnsiTheme="majorHAnsi" w:cs="Calibri"/>
                <w:b/>
                <w:bCs/>
                <w:lang w:eastAsia="en-US"/>
              </w:rPr>
              <w:t>2020</w:t>
            </w:r>
          </w:p>
        </w:tc>
        <w:tc>
          <w:tcPr>
            <w:tcW w:w="158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656A2CC" w14:textId="77777777" w:rsidR="00A65707" w:rsidRPr="0042384C" w:rsidRDefault="00A65707" w:rsidP="00A65707">
            <w:pPr>
              <w:jc w:val="center"/>
              <w:rPr>
                <w:rFonts w:asciiTheme="majorHAnsi" w:hAnsiTheme="majorHAnsi" w:cs="Calibri"/>
                <w:lang w:eastAsia="en-US"/>
              </w:rPr>
            </w:pPr>
            <w:r w:rsidRPr="0042384C">
              <w:rPr>
                <w:rFonts w:asciiTheme="majorHAnsi" w:hAnsiTheme="majorHAnsi" w:cs="Calibri"/>
                <w:lang w:eastAsia="en-US"/>
              </w:rPr>
              <w:t>276 954</w:t>
            </w:r>
          </w:p>
        </w:tc>
        <w:tc>
          <w:tcPr>
            <w:tcW w:w="126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4B045E1" w14:textId="77777777" w:rsidR="00A65707" w:rsidRPr="0042384C" w:rsidRDefault="00A65707" w:rsidP="00A65707">
            <w:pPr>
              <w:jc w:val="center"/>
              <w:rPr>
                <w:rFonts w:asciiTheme="majorHAnsi" w:hAnsiTheme="majorHAnsi" w:cs="Calibri"/>
                <w:lang w:eastAsia="en-US"/>
              </w:rPr>
            </w:pPr>
            <w:r w:rsidRPr="0042384C">
              <w:rPr>
                <w:rFonts w:asciiTheme="majorHAnsi" w:hAnsiTheme="majorHAnsi" w:cs="Calibri"/>
                <w:lang w:eastAsia="en-US"/>
              </w:rPr>
              <w:t>325</w:t>
            </w:r>
          </w:p>
        </w:tc>
        <w:tc>
          <w:tcPr>
            <w:tcW w:w="881"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bottom"/>
          </w:tcPr>
          <w:p w14:paraId="79756D13" w14:textId="77777777" w:rsidR="00A65707" w:rsidRPr="0042384C" w:rsidRDefault="00A65707" w:rsidP="00A65707">
            <w:pPr>
              <w:jc w:val="center"/>
              <w:rPr>
                <w:rFonts w:asciiTheme="majorHAnsi" w:hAnsiTheme="majorHAnsi" w:cs="Calibri"/>
                <w:lang w:eastAsia="en-US"/>
              </w:rPr>
            </w:pPr>
          </w:p>
        </w:tc>
        <w:tc>
          <w:tcPr>
            <w:tcW w:w="1099"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8E675C7" w14:textId="77777777" w:rsidR="00A65707" w:rsidRPr="0042384C" w:rsidRDefault="00A65707" w:rsidP="00A65707">
            <w:pPr>
              <w:jc w:val="center"/>
              <w:rPr>
                <w:rFonts w:asciiTheme="majorHAnsi" w:hAnsiTheme="majorHAnsi" w:cs="Calibri"/>
                <w:lang w:eastAsia="en-US"/>
              </w:rPr>
            </w:pPr>
            <w:r w:rsidRPr="0042384C">
              <w:rPr>
                <w:rFonts w:asciiTheme="majorHAnsi" w:hAnsiTheme="majorHAnsi" w:cs="Calibri"/>
                <w:lang w:eastAsia="en-US"/>
              </w:rPr>
              <w:t>1 692</w:t>
            </w:r>
          </w:p>
        </w:tc>
        <w:tc>
          <w:tcPr>
            <w:tcW w:w="833"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bottom"/>
          </w:tcPr>
          <w:p w14:paraId="2C412125" w14:textId="77777777" w:rsidR="00A65707" w:rsidRPr="0042384C" w:rsidRDefault="00A65707" w:rsidP="00A65707">
            <w:pPr>
              <w:jc w:val="center"/>
              <w:rPr>
                <w:rFonts w:asciiTheme="majorHAnsi" w:hAnsiTheme="majorHAnsi" w:cs="Calibri"/>
                <w:lang w:eastAsia="en-US"/>
              </w:rPr>
            </w:pPr>
          </w:p>
        </w:tc>
        <w:tc>
          <w:tcPr>
            <w:tcW w:w="1417"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9A157B7" w14:textId="77777777" w:rsidR="00A65707" w:rsidRPr="0042384C" w:rsidRDefault="00A65707" w:rsidP="00A65707">
            <w:pPr>
              <w:jc w:val="center"/>
              <w:rPr>
                <w:rFonts w:asciiTheme="majorHAnsi" w:hAnsiTheme="majorHAnsi" w:cs="Calibri"/>
                <w:lang w:eastAsia="en-US"/>
              </w:rPr>
            </w:pPr>
            <w:r w:rsidRPr="0042384C">
              <w:rPr>
                <w:rFonts w:asciiTheme="majorHAnsi" w:hAnsiTheme="majorHAnsi" w:cs="Calibri"/>
                <w:lang w:eastAsia="en-US"/>
              </w:rPr>
              <w:t>135</w:t>
            </w:r>
          </w:p>
        </w:tc>
        <w:tc>
          <w:tcPr>
            <w:tcW w:w="1169"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bottom"/>
          </w:tcPr>
          <w:p w14:paraId="1DAEE811" w14:textId="77777777" w:rsidR="00A65707" w:rsidRPr="0042384C" w:rsidRDefault="00A65707" w:rsidP="00A65707">
            <w:pPr>
              <w:jc w:val="center"/>
              <w:rPr>
                <w:rFonts w:asciiTheme="majorHAnsi" w:hAnsiTheme="majorHAnsi" w:cs="Calibri"/>
                <w:lang w:eastAsia="en-US"/>
              </w:rPr>
            </w:pPr>
          </w:p>
        </w:tc>
      </w:tr>
      <w:tr w:rsidR="008873C7" w:rsidRPr="0042384C" w14:paraId="37FEB5F8" w14:textId="77777777" w:rsidTr="00A65707">
        <w:trPr>
          <w:trHeight w:val="20"/>
        </w:trPr>
        <w:tc>
          <w:tcPr>
            <w:tcW w:w="111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B6C3A6B" w14:textId="77777777" w:rsidR="00A65707" w:rsidRPr="0042384C" w:rsidRDefault="00A65707" w:rsidP="00A65707">
            <w:pPr>
              <w:jc w:val="both"/>
              <w:rPr>
                <w:rFonts w:asciiTheme="majorHAnsi" w:hAnsiTheme="majorHAnsi" w:cs="Calibri"/>
                <w:b/>
                <w:bCs/>
                <w:lang w:eastAsia="en-US"/>
              </w:rPr>
            </w:pPr>
            <w:r w:rsidRPr="0042384C">
              <w:rPr>
                <w:rFonts w:asciiTheme="majorHAnsi" w:hAnsiTheme="majorHAnsi" w:cs="Calibri"/>
                <w:b/>
                <w:bCs/>
                <w:lang w:eastAsia="en-US"/>
              </w:rPr>
              <w:t>2021</w:t>
            </w:r>
          </w:p>
        </w:tc>
        <w:tc>
          <w:tcPr>
            <w:tcW w:w="158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209E473" w14:textId="77777777" w:rsidR="00A65707" w:rsidRPr="0042384C" w:rsidRDefault="00A65707" w:rsidP="00A65707">
            <w:pPr>
              <w:jc w:val="center"/>
              <w:rPr>
                <w:rFonts w:asciiTheme="majorHAnsi" w:hAnsiTheme="majorHAnsi" w:cs="Calibri"/>
                <w:lang w:eastAsia="en-US"/>
              </w:rPr>
            </w:pPr>
            <w:r w:rsidRPr="0042384C">
              <w:rPr>
                <w:rFonts w:asciiTheme="majorHAnsi" w:hAnsiTheme="majorHAnsi" w:cs="Calibri"/>
                <w:lang w:eastAsia="en-US"/>
              </w:rPr>
              <w:t>332 768</w:t>
            </w:r>
          </w:p>
        </w:tc>
        <w:tc>
          <w:tcPr>
            <w:tcW w:w="126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08DF7DB" w14:textId="77777777" w:rsidR="00A65707" w:rsidRPr="0042384C" w:rsidRDefault="00A65707" w:rsidP="00A65707">
            <w:pPr>
              <w:jc w:val="center"/>
              <w:rPr>
                <w:rFonts w:asciiTheme="majorHAnsi" w:hAnsiTheme="majorHAnsi" w:cs="Calibri"/>
                <w:lang w:eastAsia="en-US"/>
              </w:rPr>
            </w:pPr>
            <w:r w:rsidRPr="0042384C">
              <w:rPr>
                <w:rFonts w:asciiTheme="majorHAnsi" w:hAnsiTheme="majorHAnsi" w:cs="Calibri"/>
                <w:lang w:eastAsia="en-US"/>
              </w:rPr>
              <w:t>532</w:t>
            </w:r>
          </w:p>
        </w:tc>
        <w:tc>
          <w:tcPr>
            <w:tcW w:w="881"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bottom"/>
          </w:tcPr>
          <w:p w14:paraId="316A4B80" w14:textId="77777777" w:rsidR="00A65707" w:rsidRPr="0042384C" w:rsidRDefault="00A65707" w:rsidP="00A65707">
            <w:pPr>
              <w:jc w:val="center"/>
              <w:rPr>
                <w:rFonts w:asciiTheme="majorHAnsi" w:hAnsiTheme="majorHAnsi" w:cs="Calibri"/>
                <w:lang w:eastAsia="en-US"/>
              </w:rPr>
            </w:pPr>
          </w:p>
        </w:tc>
        <w:tc>
          <w:tcPr>
            <w:tcW w:w="1099"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5DF3727" w14:textId="77777777" w:rsidR="00A65707" w:rsidRPr="0042384C" w:rsidRDefault="00A65707" w:rsidP="00A65707">
            <w:pPr>
              <w:jc w:val="center"/>
              <w:rPr>
                <w:rFonts w:asciiTheme="majorHAnsi" w:hAnsiTheme="majorHAnsi" w:cs="Calibri"/>
                <w:lang w:eastAsia="en-US"/>
              </w:rPr>
            </w:pPr>
            <w:r w:rsidRPr="0042384C">
              <w:rPr>
                <w:rFonts w:asciiTheme="majorHAnsi" w:hAnsiTheme="majorHAnsi" w:cs="Calibri"/>
                <w:lang w:eastAsia="en-US"/>
              </w:rPr>
              <w:t>2 593</w:t>
            </w:r>
          </w:p>
        </w:tc>
        <w:tc>
          <w:tcPr>
            <w:tcW w:w="833"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bottom"/>
          </w:tcPr>
          <w:p w14:paraId="6F53C236" w14:textId="77777777" w:rsidR="00A65707" w:rsidRPr="0042384C" w:rsidRDefault="00A65707" w:rsidP="00A65707">
            <w:pPr>
              <w:jc w:val="center"/>
              <w:rPr>
                <w:rFonts w:asciiTheme="majorHAnsi" w:hAnsiTheme="majorHAnsi" w:cs="Calibri"/>
                <w:lang w:eastAsia="en-US"/>
              </w:rPr>
            </w:pPr>
          </w:p>
        </w:tc>
        <w:tc>
          <w:tcPr>
            <w:tcW w:w="1417"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B4E72CC" w14:textId="77777777" w:rsidR="00A65707" w:rsidRPr="0042384C" w:rsidRDefault="00A65707" w:rsidP="00A65707">
            <w:pPr>
              <w:jc w:val="center"/>
              <w:rPr>
                <w:rFonts w:asciiTheme="majorHAnsi" w:hAnsiTheme="majorHAnsi" w:cs="Calibri"/>
                <w:lang w:eastAsia="en-US"/>
              </w:rPr>
            </w:pPr>
            <w:r w:rsidRPr="0042384C">
              <w:rPr>
                <w:rFonts w:asciiTheme="majorHAnsi" w:hAnsiTheme="majorHAnsi" w:cs="Calibri"/>
                <w:lang w:eastAsia="en-US"/>
              </w:rPr>
              <w:t>291</w:t>
            </w:r>
          </w:p>
        </w:tc>
        <w:tc>
          <w:tcPr>
            <w:tcW w:w="1169"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bottom"/>
          </w:tcPr>
          <w:p w14:paraId="0B96EC95" w14:textId="77777777" w:rsidR="00A65707" w:rsidRPr="0042384C" w:rsidRDefault="00A65707" w:rsidP="00A65707">
            <w:pPr>
              <w:jc w:val="center"/>
              <w:rPr>
                <w:rFonts w:asciiTheme="majorHAnsi" w:hAnsiTheme="majorHAnsi" w:cs="Calibri"/>
                <w:lang w:eastAsia="en-US"/>
              </w:rPr>
            </w:pPr>
          </w:p>
        </w:tc>
      </w:tr>
      <w:tr w:rsidR="008873C7" w:rsidRPr="0042384C" w14:paraId="7B1A06A5" w14:textId="77777777" w:rsidTr="00A65707">
        <w:trPr>
          <w:trHeight w:val="20"/>
        </w:trPr>
        <w:tc>
          <w:tcPr>
            <w:tcW w:w="111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197BA85" w14:textId="77777777" w:rsidR="00A65707" w:rsidRPr="0042384C" w:rsidRDefault="00A65707" w:rsidP="00A65707">
            <w:pPr>
              <w:jc w:val="both"/>
              <w:rPr>
                <w:rFonts w:asciiTheme="majorHAnsi" w:hAnsiTheme="majorHAnsi" w:cs="Calibri"/>
                <w:b/>
                <w:bCs/>
                <w:lang w:eastAsia="en-US"/>
              </w:rPr>
            </w:pPr>
            <w:r w:rsidRPr="0042384C">
              <w:rPr>
                <w:rFonts w:asciiTheme="majorHAnsi" w:hAnsiTheme="majorHAnsi" w:cs="Calibri"/>
                <w:b/>
                <w:bCs/>
                <w:lang w:eastAsia="en-US"/>
              </w:rPr>
              <w:t>2022</w:t>
            </w:r>
          </w:p>
        </w:tc>
        <w:tc>
          <w:tcPr>
            <w:tcW w:w="1585"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4DB4878" w14:textId="77777777" w:rsidR="00A65707" w:rsidRPr="0042384C" w:rsidRDefault="00A65707" w:rsidP="00A65707">
            <w:pPr>
              <w:jc w:val="center"/>
              <w:rPr>
                <w:rFonts w:asciiTheme="majorHAnsi" w:hAnsiTheme="majorHAnsi" w:cs="Calibri"/>
                <w:lang w:eastAsia="en-US"/>
              </w:rPr>
            </w:pPr>
            <w:r w:rsidRPr="0042384C">
              <w:rPr>
                <w:rFonts w:asciiTheme="majorHAnsi" w:hAnsiTheme="majorHAnsi" w:cs="Calibri"/>
                <w:lang w:eastAsia="en-US"/>
              </w:rPr>
              <w:t>371 561</w:t>
            </w:r>
          </w:p>
        </w:tc>
        <w:tc>
          <w:tcPr>
            <w:tcW w:w="1260"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B7820BA" w14:textId="77777777" w:rsidR="00A65707" w:rsidRPr="0042384C" w:rsidRDefault="00A65707" w:rsidP="00A65707">
            <w:pPr>
              <w:jc w:val="center"/>
              <w:rPr>
                <w:rFonts w:asciiTheme="majorHAnsi" w:hAnsiTheme="majorHAnsi" w:cs="Calibri"/>
                <w:lang w:eastAsia="en-US"/>
              </w:rPr>
            </w:pPr>
            <w:r w:rsidRPr="0042384C">
              <w:rPr>
                <w:rFonts w:asciiTheme="majorHAnsi" w:hAnsiTheme="majorHAnsi" w:cs="Calibri"/>
                <w:lang w:eastAsia="en-US"/>
              </w:rPr>
              <w:t>580</w:t>
            </w:r>
          </w:p>
        </w:tc>
        <w:tc>
          <w:tcPr>
            <w:tcW w:w="881"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bottom"/>
          </w:tcPr>
          <w:p w14:paraId="6A8C403B" w14:textId="77777777" w:rsidR="00A65707" w:rsidRPr="0042384C" w:rsidRDefault="00A65707" w:rsidP="00A65707">
            <w:pPr>
              <w:jc w:val="center"/>
              <w:rPr>
                <w:rFonts w:asciiTheme="majorHAnsi" w:hAnsiTheme="majorHAnsi" w:cs="Calibri"/>
                <w:lang w:eastAsia="en-US"/>
              </w:rPr>
            </w:pPr>
          </w:p>
        </w:tc>
        <w:tc>
          <w:tcPr>
            <w:tcW w:w="1099"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1890E46" w14:textId="77777777" w:rsidR="00A65707" w:rsidRPr="0042384C" w:rsidRDefault="00A65707" w:rsidP="00A65707">
            <w:pPr>
              <w:jc w:val="center"/>
              <w:rPr>
                <w:rFonts w:asciiTheme="majorHAnsi" w:hAnsiTheme="majorHAnsi" w:cs="Calibri"/>
                <w:lang w:eastAsia="en-US"/>
              </w:rPr>
            </w:pPr>
            <w:r w:rsidRPr="0042384C">
              <w:rPr>
                <w:rFonts w:asciiTheme="majorHAnsi" w:hAnsiTheme="majorHAnsi" w:cs="Calibri"/>
                <w:lang w:eastAsia="en-US"/>
              </w:rPr>
              <w:t>3 033</w:t>
            </w:r>
          </w:p>
        </w:tc>
        <w:tc>
          <w:tcPr>
            <w:tcW w:w="833"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bottom"/>
          </w:tcPr>
          <w:p w14:paraId="21F54A0E" w14:textId="77777777" w:rsidR="00A65707" w:rsidRPr="0042384C" w:rsidRDefault="00A65707" w:rsidP="00A65707">
            <w:pPr>
              <w:jc w:val="center"/>
              <w:rPr>
                <w:rFonts w:asciiTheme="majorHAnsi" w:hAnsiTheme="majorHAnsi" w:cs="Calibri"/>
                <w:lang w:eastAsia="en-US"/>
              </w:rPr>
            </w:pPr>
          </w:p>
        </w:tc>
        <w:tc>
          <w:tcPr>
            <w:tcW w:w="1417"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A26BE85" w14:textId="77777777" w:rsidR="00A65707" w:rsidRPr="0042384C" w:rsidRDefault="00A65707" w:rsidP="00A65707">
            <w:pPr>
              <w:jc w:val="center"/>
              <w:rPr>
                <w:rFonts w:asciiTheme="majorHAnsi" w:hAnsiTheme="majorHAnsi" w:cs="Calibri"/>
                <w:lang w:eastAsia="en-US"/>
              </w:rPr>
            </w:pPr>
            <w:r w:rsidRPr="0042384C">
              <w:rPr>
                <w:rFonts w:asciiTheme="majorHAnsi" w:hAnsiTheme="majorHAnsi" w:cs="Calibri"/>
                <w:lang w:eastAsia="en-US"/>
              </w:rPr>
              <w:t>215</w:t>
            </w:r>
          </w:p>
        </w:tc>
        <w:tc>
          <w:tcPr>
            <w:tcW w:w="1169"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bottom"/>
          </w:tcPr>
          <w:p w14:paraId="1B67E071" w14:textId="77777777" w:rsidR="00A65707" w:rsidRPr="0042384C" w:rsidRDefault="00A65707" w:rsidP="00A65707">
            <w:pPr>
              <w:jc w:val="center"/>
              <w:rPr>
                <w:rFonts w:asciiTheme="majorHAnsi" w:hAnsiTheme="majorHAnsi" w:cs="Calibri"/>
                <w:lang w:eastAsia="en-US"/>
              </w:rPr>
            </w:pPr>
          </w:p>
        </w:tc>
      </w:tr>
    </w:tbl>
    <w:p w14:paraId="307DDF9A" w14:textId="77777777" w:rsidR="00A65707" w:rsidRPr="0042384C" w:rsidRDefault="00A65707" w:rsidP="00A65707">
      <w:pPr>
        <w:spacing w:line="256" w:lineRule="auto"/>
        <w:ind w:firstLine="720"/>
        <w:jc w:val="both"/>
        <w:rPr>
          <w:rFonts w:asciiTheme="majorHAnsi" w:eastAsia="Calibri" w:hAnsiTheme="majorHAnsi"/>
          <w:b/>
          <w:lang w:eastAsia="en-US"/>
        </w:rPr>
      </w:pPr>
    </w:p>
    <w:p w14:paraId="61BB66E3" w14:textId="77777777" w:rsidR="00A65707" w:rsidRPr="0042384C" w:rsidRDefault="00A65707" w:rsidP="00AB54D7">
      <w:pPr>
        <w:ind w:firstLine="360"/>
        <w:jc w:val="both"/>
        <w:rPr>
          <w:rFonts w:asciiTheme="majorHAnsi" w:hAnsiTheme="majorHAnsi" w:cs="Calibri"/>
        </w:rPr>
      </w:pPr>
    </w:p>
    <w:p w14:paraId="47D5E687" w14:textId="6816504E" w:rsidR="00553127" w:rsidRPr="0042384C" w:rsidRDefault="00553127" w:rsidP="00553127">
      <w:pPr>
        <w:ind w:firstLine="360"/>
        <w:jc w:val="both"/>
        <w:rPr>
          <w:rFonts w:asciiTheme="majorHAnsi" w:hAnsiTheme="majorHAnsi" w:cs="Calibri"/>
        </w:rPr>
      </w:pPr>
      <w:r w:rsidRPr="0042384C">
        <w:rPr>
          <w:rFonts w:asciiTheme="majorHAnsi" w:hAnsiTheme="majorHAnsi" w:cs="Calibri"/>
        </w:rPr>
        <w:t>გარდა ამისა</w:t>
      </w:r>
      <w:r w:rsidR="0042384C">
        <w:rPr>
          <w:rFonts w:asciiTheme="majorHAnsi" w:hAnsiTheme="majorHAnsi" w:cs="Calibri"/>
        </w:rPr>
        <w:t>,</w:t>
      </w:r>
      <w:r w:rsidRPr="0042384C">
        <w:rPr>
          <w:rFonts w:asciiTheme="majorHAnsi" w:hAnsiTheme="majorHAnsi" w:cs="Calibri"/>
        </w:rPr>
        <w:t xml:space="preserve"> საბაჟო კონტროლი (მათ შორის, საბაჟო ღირებულების სისწორის შემოწმების კუთხით), გარდა შემთხვევითი შერჩევის მეთოდით შემოწმებისა, ეფუძნება ეროვნულ და საერთაშორისო დონეებზე შემუშავებული რისკის კრიტერიუმების საფუძველზე რისკის გამოვლენის, შეფასების და პრევენციული ზომების მიღების მიზნით მონაცემთა ავტომატიზებული დამუშავების საშუალების გამოყენებას. რისკის მართვა მოიცავს მონაცემებისა (მ.შ. საბაჟო ორგანოში არსებული, პრაქტიკის განზოგად</w:t>
      </w:r>
      <w:r w:rsidR="0042384C">
        <w:rPr>
          <w:rFonts w:asciiTheme="majorHAnsi" w:hAnsiTheme="majorHAnsi" w:cs="Calibri"/>
        </w:rPr>
        <w:t>ებიდან ან/და სხვადასხვა წყარო</w:t>
      </w:r>
      <w:r w:rsidRPr="0042384C">
        <w:rPr>
          <w:rFonts w:asciiTheme="majorHAnsi" w:hAnsiTheme="majorHAnsi" w:cs="Calibri"/>
        </w:rPr>
        <w:t>დან მიღებული მონაცემებისა) და ინფორმაციის შეგროვებას, რისკის ანალიზსა და შეფასებას, მისაღები ზომების განსაზღვრას და მათ მიღებას, ამ პროცესებსა და მათ შედეგებზე რეგულარულ დაკვირვებას და მათ გადახედვას. აღნიშნული კი მნიშვნელოვნად გამორიცხავს საქონლის საბაჟო ღირებულების შეცვლის ფაქტებს.</w:t>
      </w:r>
    </w:p>
    <w:p w14:paraId="73F9AFEB" w14:textId="4FD8ADD9" w:rsidR="00553127" w:rsidRPr="0042384C" w:rsidRDefault="00553127" w:rsidP="00553127">
      <w:pPr>
        <w:ind w:firstLine="360"/>
        <w:jc w:val="both"/>
        <w:rPr>
          <w:rFonts w:asciiTheme="majorHAnsi" w:hAnsiTheme="majorHAnsi" w:cs="Calibri"/>
        </w:rPr>
      </w:pPr>
      <w:r w:rsidRPr="0042384C">
        <w:rPr>
          <w:rFonts w:asciiTheme="majorHAnsi" w:hAnsiTheme="majorHAnsi" w:cs="Calibri"/>
        </w:rPr>
        <w:t>შესაბამისად, საბაჟო დეკლარაციასა და მის თანმხლებ დოკუმენტში/რეექსპორტის დეკლარაციასა და მის თანმხლებ დოკუმენტში დეკლარანტის მიერ საქონლის საბაჟო ღირებულების გაზრდა (ე.წ. OVERINVOICING შემთხვევები) არ წარმოადგენს მნიშვნელოვან გამოწვევას, რისი მაჩვენებელი არის ასევე სხვად</w:t>
      </w:r>
      <w:r w:rsidR="0042384C">
        <w:rPr>
          <w:rFonts w:asciiTheme="majorHAnsi" w:hAnsiTheme="majorHAnsi" w:cs="Calibri"/>
        </w:rPr>
        <w:t>ასხვა საერთაშორისო პარტნიორ</w:t>
      </w:r>
      <w:r w:rsidRPr="0042384C">
        <w:rPr>
          <w:rFonts w:asciiTheme="majorHAnsi" w:hAnsiTheme="majorHAnsi" w:cs="Calibri"/>
        </w:rPr>
        <w:t>ის მიერ გამოთქმული შეფასებები.</w:t>
      </w:r>
    </w:p>
    <w:p w14:paraId="4CDECA46" w14:textId="1EE3D212" w:rsidR="00553127" w:rsidRPr="0042384C" w:rsidRDefault="00553127" w:rsidP="00553127">
      <w:pPr>
        <w:ind w:firstLine="360"/>
        <w:jc w:val="both"/>
        <w:rPr>
          <w:rFonts w:asciiTheme="majorHAnsi" w:hAnsiTheme="majorHAnsi" w:cs="Calibri"/>
        </w:rPr>
      </w:pPr>
      <w:r w:rsidRPr="0042384C">
        <w:rPr>
          <w:rFonts w:asciiTheme="majorHAnsi" w:hAnsiTheme="majorHAnsi" w:cs="Calibri"/>
        </w:rPr>
        <w:t xml:space="preserve">– </w:t>
      </w:r>
      <w:hyperlink r:id="rId8" w:history="1">
        <w:r w:rsidRPr="0042384C">
          <w:rPr>
            <w:rStyle w:val="Hyperlink"/>
            <w:rFonts w:asciiTheme="majorHAnsi" w:hAnsiTheme="majorHAnsi" w:cs="Calibri"/>
          </w:rPr>
          <w:t>საქართველოს ფინანსთა მინისტრის 2021 წლის 21 სექტემბრის №243 ბრძანებით</w:t>
        </w:r>
      </w:hyperlink>
      <w:r w:rsidRPr="0042384C">
        <w:rPr>
          <w:rFonts w:asciiTheme="majorHAnsi" w:hAnsiTheme="majorHAnsi" w:cs="Calibri"/>
        </w:rPr>
        <w:t xml:space="preserve"> ცვლილება განხორციელდა „საქართველოს საბაჟო ტერიტორიაზე საქონლის გადაადგილებისა და გაფორმების შესახებ ინსტრუქციების დამტკიცების თაობაზე“ საქართველოს ფინანსთა მინისტრის 2019 წლის 29 აგვისტოს №257 ბრძანებაში და, საბაჟო დეკლარაციაში მისათითებელი ინფორმაციის განჭვრეტადობის, საბაჟო ორგანოს მიერ სრულყოფილი ინფორმაციის მოპოვებისა და კონტროლის ეფექტიანი განხორციელების ხელშეწყობის უზრუნველსაყოფად, „ფიზიკური პირის საბაჟო დეკლარაციის“ III ნაწილის („III. ინფორმაცია საქონლის შესახებ“) მე-3 პუნქტით გათვალისწინებული ცხრილის შევსებასთან მიმართებაში დაკონკრეტდა, რომ ფიზიკური პირის მიერ საქართველოს საბაჟო საზღვარზე გადაადგილებული ნაღდი ფულის (ეროვნული ან/და უცხოური ვალუტა), ჩეკების </w:t>
      </w:r>
      <w:r w:rsidRPr="0042384C">
        <w:rPr>
          <w:rFonts w:asciiTheme="majorHAnsi" w:hAnsiTheme="majorHAnsi" w:cs="Calibri"/>
        </w:rPr>
        <w:lastRenderedPageBreak/>
        <w:t>ან/და სხვა ფასიანი ქაღალდების დეკლ</w:t>
      </w:r>
      <w:r w:rsidR="003E3540" w:rsidRPr="0042384C">
        <w:rPr>
          <w:rFonts w:asciiTheme="majorHAnsi" w:hAnsiTheme="majorHAnsi" w:cs="Calibri"/>
        </w:rPr>
        <w:t>არირების შემთხვევაში, გრაფაში „</w:t>
      </w:r>
      <w:r w:rsidRPr="0042384C">
        <w:rPr>
          <w:rFonts w:asciiTheme="majorHAnsi" w:hAnsiTheme="majorHAnsi" w:cs="Calibri"/>
        </w:rPr>
        <w:t>საქონლის წარმომავლობა და მიზნობრიობა“ მიეთითება შემდეგი ინფორმაცია:</w:t>
      </w:r>
    </w:p>
    <w:p w14:paraId="1A02BBAB" w14:textId="77777777" w:rsidR="00553127" w:rsidRPr="0042384C" w:rsidRDefault="00553127" w:rsidP="00553127">
      <w:pPr>
        <w:ind w:firstLine="360"/>
        <w:jc w:val="both"/>
        <w:rPr>
          <w:rFonts w:asciiTheme="majorHAnsi" w:hAnsiTheme="majorHAnsi" w:cs="Calibri"/>
        </w:rPr>
      </w:pPr>
      <w:r w:rsidRPr="0042384C">
        <w:rPr>
          <w:rFonts w:asciiTheme="majorHAnsi" w:hAnsiTheme="majorHAnsi" w:cs="Calibri"/>
        </w:rPr>
        <w:t>– ნაღდი ფულის (ეროვნული ან/და უცხოური ვალუტა), ჩეკების ან/და სხვა ფასიანი ქაღალდების წარმომავლობა და საზღვარგარეთ ფიზიკური პირის საქმიანობის სფერო (დეტალური აღწერით);</w:t>
      </w:r>
    </w:p>
    <w:p w14:paraId="75E65999" w14:textId="77777777" w:rsidR="00553127" w:rsidRPr="0042384C" w:rsidRDefault="00553127" w:rsidP="00553127">
      <w:pPr>
        <w:ind w:firstLine="360"/>
        <w:jc w:val="both"/>
        <w:rPr>
          <w:rFonts w:asciiTheme="majorHAnsi" w:hAnsiTheme="majorHAnsi" w:cs="Calibri"/>
        </w:rPr>
      </w:pPr>
      <w:r w:rsidRPr="0042384C">
        <w:rPr>
          <w:rFonts w:asciiTheme="majorHAnsi" w:hAnsiTheme="majorHAnsi" w:cs="Calibri"/>
        </w:rPr>
        <w:t>– ნაღდი ფულის (ეროვნული ან/და უცხოური ვალუტა), ჩეკების ან/და სხვა ფასიანი ქაღალდების მიზნობრიობა, კერძოდ, რა მიზნით ხორციელდება აღნიშნული საქონლის საქართველოს საბაჟო საზღვარზე გადაადგილება;</w:t>
      </w:r>
    </w:p>
    <w:p w14:paraId="2108318E" w14:textId="77777777" w:rsidR="00553127" w:rsidRPr="0042384C" w:rsidRDefault="00553127" w:rsidP="00553127">
      <w:pPr>
        <w:ind w:firstLine="360"/>
        <w:jc w:val="both"/>
        <w:rPr>
          <w:rFonts w:asciiTheme="majorHAnsi" w:hAnsiTheme="majorHAnsi" w:cs="Calibri"/>
        </w:rPr>
      </w:pPr>
      <w:r w:rsidRPr="0042384C">
        <w:rPr>
          <w:rFonts w:asciiTheme="majorHAnsi" w:hAnsiTheme="majorHAnsi" w:cs="Calibri"/>
        </w:rPr>
        <w:t>– ნაღდი ფულის (ეროვნული ან/და უცხოური ვალუტა), ჩეკების ან/და სხვა ფასიანი ქაღალდების საქართველოს საბაჟო ტერიტორიაზე ეკონომიკური საქმიანობისათვის შემოტანისას – საქართველოში ფიზიკური პირის ეკონომიკური საქმიანობის დეტალური აღწერა (მათ შორის, საქმიანი პარტნიორების (სამეწარმეო ინტერესით დაკავშირებული პირები) საიდენტიფიკაციო მონაცემების სრულად მითითებით);</w:t>
      </w:r>
    </w:p>
    <w:p w14:paraId="5261C883" w14:textId="77777777" w:rsidR="00553127" w:rsidRPr="0042384C" w:rsidRDefault="00553127" w:rsidP="00553127">
      <w:pPr>
        <w:ind w:firstLine="360"/>
        <w:jc w:val="both"/>
        <w:rPr>
          <w:rFonts w:asciiTheme="majorHAnsi" w:hAnsiTheme="majorHAnsi" w:cs="Calibri"/>
        </w:rPr>
      </w:pPr>
      <w:r w:rsidRPr="0042384C">
        <w:rPr>
          <w:rFonts w:asciiTheme="majorHAnsi" w:hAnsiTheme="majorHAnsi" w:cs="Calibri"/>
        </w:rPr>
        <w:t>– საქართველოში ყოფნის დაგეგმილი ხანგრძლივობა, საცხოვრებელი მისამართი და სხვა საკონტაქტო მონაცემები (უცხო ქვეყნის  მოქალაქის შემთხვევაში);</w:t>
      </w:r>
    </w:p>
    <w:p w14:paraId="3DE77433" w14:textId="725DD191" w:rsidR="009E1C05" w:rsidRPr="0042384C" w:rsidRDefault="00553127" w:rsidP="003F7CDA">
      <w:pPr>
        <w:ind w:firstLine="360"/>
        <w:jc w:val="both"/>
        <w:rPr>
          <w:rFonts w:asciiTheme="majorHAnsi" w:hAnsiTheme="majorHAnsi" w:cs="Calibri"/>
        </w:rPr>
      </w:pPr>
      <w:r w:rsidRPr="0042384C">
        <w:rPr>
          <w:rFonts w:asciiTheme="majorHAnsi" w:hAnsiTheme="majorHAnsi" w:cs="Calibri"/>
        </w:rPr>
        <w:t>– ფიზიკური პირის მიერ წინა პერიოდში ნაღდი ფულის (ეროვნული ან/და უცხოური ვალუტა), ჩეკების ან/და სხვა ფასიანი ქაღალდების დეკლარირების შემთხვევაში – მათი გამოყენების მიზნობრიობა, კერძოდ, რა მიზნითა და რა დანიშნულებით მოხდა მათი განკარგვა.</w:t>
      </w:r>
    </w:p>
    <w:p w14:paraId="03E0DEDA" w14:textId="19D491B7" w:rsidR="009E1C05" w:rsidRPr="0042384C" w:rsidRDefault="009E1C05" w:rsidP="003F7CDA">
      <w:pPr>
        <w:ind w:firstLine="360"/>
        <w:jc w:val="both"/>
        <w:rPr>
          <w:rFonts w:asciiTheme="majorHAnsi" w:hAnsiTheme="majorHAnsi" w:cs="Calibri"/>
        </w:rPr>
      </w:pPr>
      <w:r w:rsidRPr="0042384C">
        <w:rPr>
          <w:rFonts w:asciiTheme="majorHAnsi" w:hAnsiTheme="majorHAnsi" w:cs="Calibri"/>
        </w:rPr>
        <w:t xml:space="preserve">ამასთან, 2011 წელს საქართველო გაწევრიანდა საგადასახადო მიზნებისთვის გამჭვირვალობის და ინფორმაციის გაცვლის გლობალურ ფორუმში. 2016 წელს საქართველო ასევე მიუერთდა დასაბეგრი ბაზის შემცირების და მოგების გადატანის (BEPS) ინკლუზიურ პლატფორმას. 2024 წელს, BEPS-ის ფარგლებში, ქვეყანაში არსებული პრეფერენციული საგადასახადო რეჟიმები (მათ შორის, თიზ-ები) შეფასდა როგორც არასაზიანო საგადასახადო პრაქტიკა. ეს ნიშნავს, რომ აგრესიული და საზიანო საგადასახადო პრაქტიკების მიზნით, თიზ-ების გამოყენების ალბათობა დაბალია და შესაბამისად, გადასახადისთვის თავის არიდების რისკი მცირეა.  </w:t>
      </w:r>
    </w:p>
    <w:p w14:paraId="3156EEE5" w14:textId="751AB460" w:rsidR="00AB54D7" w:rsidRPr="0042384C" w:rsidRDefault="00553127" w:rsidP="0042384C">
      <w:pPr>
        <w:ind w:firstLine="360"/>
        <w:jc w:val="both"/>
        <w:rPr>
          <w:rFonts w:asciiTheme="majorHAnsi" w:hAnsiTheme="majorHAnsi" w:cs="Calibri"/>
        </w:rPr>
      </w:pPr>
      <w:r w:rsidRPr="0042384C">
        <w:rPr>
          <w:rFonts w:asciiTheme="majorHAnsi" w:hAnsiTheme="majorHAnsi" w:cs="Calibri"/>
        </w:rPr>
        <w:t>ნაღდი ფულით შესრულებულ ტრანზაქციებზე ინფორმაცია ავტომატურ რეჟიმში ასევე მიეწოდება საქართველოს ფინანსური მონიტორინგის სამსახურს. კერძოდ, ანგარიშვალდებული პირები აგზავნიან ანგარიშგებებს ნაღდი ფულით შესრულებულ ფინანსურ ოპერაციებზე, რომლებიც წინასწარ განსაზღვრულ თანხობრივ ზღვარს აღემატება. საბაჟო საზღვარზე დეკლარირება განიხილება როგორც ქვეყანაში ნაღდი ფულის შეტანა-გატანის კონტროლის ადეკვატური მექანიზმი. თუმცა, ფინანსური მონიტორინგის სამსახურში ანგარიშგებების გაგზავნა არ არის საკმარისი ქვეყნის ფარგლებში ნაღდი ფულის მიმოქცევაზე სათანადო ინფორმაციის მოპოვებისა და ეფექტური კონტროლის განსახორციელებლად.</w:t>
      </w:r>
    </w:p>
    <w:p w14:paraId="77644EC4" w14:textId="763D424A" w:rsidR="00AB54D7" w:rsidRPr="0042384C" w:rsidRDefault="00AB54D7" w:rsidP="003F7CDA">
      <w:pPr>
        <w:ind w:firstLine="360"/>
        <w:jc w:val="both"/>
        <w:rPr>
          <w:rFonts w:asciiTheme="majorHAnsi" w:hAnsiTheme="majorHAnsi" w:cs="Calibri"/>
        </w:rPr>
      </w:pPr>
      <w:r w:rsidRPr="0042384C">
        <w:rPr>
          <w:rFonts w:asciiTheme="majorHAnsi" w:hAnsiTheme="majorHAnsi" w:cs="Calibri"/>
        </w:rPr>
        <w:t>საქართველოს გეოგრაფია ასევე ხელს უწყობს იმას, რომ საზღვრების ეფექტური კონტროლი განხორციელდეს. ამიტომ, საქართველოში შემოსვლაზე, ცხოვრებასა და მუშაობაზე მონიტორინგის განხორციელების შესაძლებლობა ქვეყნის ეკონომიკის ფორმალიზებ</w:t>
      </w:r>
      <w:r w:rsidR="005D1394" w:rsidRPr="0042384C">
        <w:rPr>
          <w:rFonts w:asciiTheme="majorHAnsi" w:hAnsiTheme="majorHAnsi" w:cs="Calibri"/>
        </w:rPr>
        <w:t>ის ხელშემწყობი ფაქტორია</w:t>
      </w:r>
      <w:r w:rsidRPr="0042384C">
        <w:rPr>
          <w:rFonts w:asciiTheme="majorHAnsi" w:hAnsiTheme="majorHAnsi" w:cs="Calibri"/>
        </w:rPr>
        <w:t xml:space="preserve">. ქვეყანაში ცხოვრებასა და </w:t>
      </w:r>
      <w:r w:rsidRPr="0042384C">
        <w:rPr>
          <w:rFonts w:asciiTheme="majorHAnsi" w:hAnsiTheme="majorHAnsi" w:cs="Calibri"/>
        </w:rPr>
        <w:lastRenderedPageBreak/>
        <w:t xml:space="preserve">მუშაობაზე კონტროლის საკანონმდებლო მექანიზმები არსებობს. კერძოდ, საქართველოს შინაგან საქმეთა სამინისტროს (შემდგომ </w:t>
      </w:r>
      <w:r w:rsidR="0042384C">
        <w:rPr>
          <w:rFonts w:asciiTheme="majorHAnsi" w:hAnsiTheme="majorHAnsi" w:cs="Calibri"/>
        </w:rPr>
        <w:t>−</w:t>
      </w:r>
      <w:r w:rsidRPr="0042384C">
        <w:rPr>
          <w:rFonts w:asciiTheme="majorHAnsi" w:hAnsiTheme="majorHAnsi" w:cs="Calibri"/>
        </w:rPr>
        <w:t xml:space="preserve"> „შსს“) მიგრაციის დეპარტამენტი ავლენს საქართველოს ტერიტორიაზე კანონიერი საფუძვლის გარეშე მყოფ ან უნებართვოდ მცხოვრებ პირებს. შსს-ს სასაზღვრო პოლიცია ახორციელებს კონტროლს სასაზღვრო ზოლ</w:t>
      </w:r>
      <w:r w:rsidR="005D1394" w:rsidRPr="0042384C">
        <w:rPr>
          <w:rFonts w:asciiTheme="majorHAnsi" w:hAnsiTheme="majorHAnsi" w:cs="Calibri"/>
        </w:rPr>
        <w:t>ზე</w:t>
      </w:r>
      <w:r w:rsidRPr="0042384C">
        <w:rPr>
          <w:rFonts w:asciiTheme="majorHAnsi" w:hAnsiTheme="majorHAnsi" w:cs="Calibri"/>
        </w:rPr>
        <w:t xml:space="preserve"> და უზრუნველყოფს საზღვრის უკანონოდ გადაკვეთის პრევენციასა და აღკვეთა</w:t>
      </w:r>
      <w:r w:rsidR="005D1394" w:rsidRPr="0042384C">
        <w:rPr>
          <w:rFonts w:asciiTheme="majorHAnsi" w:hAnsiTheme="majorHAnsi" w:cs="Calibri"/>
        </w:rPr>
        <w:t>ს</w:t>
      </w:r>
      <w:r w:rsidRPr="0042384C">
        <w:rPr>
          <w:rFonts w:asciiTheme="majorHAnsi" w:hAnsiTheme="majorHAnsi" w:cs="Calibri"/>
        </w:rPr>
        <w:t>.</w:t>
      </w:r>
    </w:p>
    <w:p w14:paraId="40A1AC26" w14:textId="3A0162D2" w:rsidR="00AB54D7" w:rsidRPr="0042384C" w:rsidRDefault="00AB54D7" w:rsidP="003F7CDA">
      <w:pPr>
        <w:ind w:firstLine="360"/>
        <w:jc w:val="both"/>
        <w:rPr>
          <w:rFonts w:asciiTheme="majorHAnsi" w:hAnsiTheme="majorHAnsi" w:cs="Calibri"/>
        </w:rPr>
      </w:pPr>
      <w:r w:rsidRPr="0042384C">
        <w:rPr>
          <w:rFonts w:asciiTheme="majorHAnsi" w:hAnsiTheme="majorHAnsi" w:cs="Calibri"/>
        </w:rPr>
        <w:t>საქართველოში დასაქმებისთვის სხვა ქვეყნების მოქალაქეებმა უნდა</w:t>
      </w:r>
      <w:r w:rsidR="003E3540" w:rsidRPr="0042384C">
        <w:rPr>
          <w:rFonts w:asciiTheme="majorHAnsi" w:hAnsiTheme="majorHAnsi" w:cs="Calibri"/>
        </w:rPr>
        <w:t xml:space="preserve"> აიღონ შრომითი ბინადრობის ნებართვ</w:t>
      </w:r>
      <w:r w:rsidRPr="0042384C">
        <w:rPr>
          <w:rFonts w:asciiTheme="majorHAnsi" w:hAnsiTheme="majorHAnsi" w:cs="Calibri"/>
        </w:rPr>
        <w:t xml:space="preserve">ა, ხოლო საქართველოში სამეწარმეო საქმიანობის განხორციელებისთვის აუცილებელია რეგისტრაცია მეწარმეთა და არასამეწარმეო </w:t>
      </w:r>
      <w:r w:rsidR="003E3540" w:rsidRPr="0042384C">
        <w:rPr>
          <w:rFonts w:asciiTheme="majorHAnsi" w:hAnsiTheme="majorHAnsi" w:cs="Calibri"/>
        </w:rPr>
        <w:t xml:space="preserve">(არაკომერციულ) </w:t>
      </w:r>
      <w:r w:rsidRPr="0042384C">
        <w:rPr>
          <w:rFonts w:asciiTheme="majorHAnsi" w:hAnsiTheme="majorHAnsi" w:cs="Calibri"/>
        </w:rPr>
        <w:t>იურიდიულ პირთა რეესტრში (შემდგომ</w:t>
      </w:r>
      <w:r w:rsidR="003E3540" w:rsidRPr="0042384C">
        <w:rPr>
          <w:rFonts w:asciiTheme="majorHAnsi" w:hAnsiTheme="majorHAnsi" w:cs="Calibri"/>
        </w:rPr>
        <w:t>ში − სამეწარმეო რეესტრი</w:t>
      </w:r>
      <w:r w:rsidRPr="0042384C">
        <w:rPr>
          <w:rFonts w:asciiTheme="majorHAnsi" w:hAnsiTheme="majorHAnsi" w:cs="Calibri"/>
        </w:rPr>
        <w:t>). განსაკუთრებული სტატუსი აქვთ მინიჭებული თვი</w:t>
      </w:r>
      <w:r w:rsidR="00A70727" w:rsidRPr="0042384C">
        <w:rPr>
          <w:rFonts w:asciiTheme="majorHAnsi" w:hAnsiTheme="majorHAnsi" w:cs="Calibri"/>
        </w:rPr>
        <w:t>თდასაქმებულ პირებს, რომლებიც</w:t>
      </w:r>
      <w:r w:rsidRPr="0042384C">
        <w:rPr>
          <w:rFonts w:asciiTheme="majorHAnsi" w:hAnsiTheme="majorHAnsi" w:cs="Calibri"/>
        </w:rPr>
        <w:t xml:space="preserve"> დამოუკიდებლად ეწევიან ეკონომიკურ საქმიანობას</w:t>
      </w:r>
      <w:r w:rsidR="00A70727" w:rsidRPr="0042384C">
        <w:rPr>
          <w:rFonts w:asciiTheme="majorHAnsi" w:hAnsiTheme="majorHAnsi" w:cs="Calibri"/>
        </w:rPr>
        <w:t xml:space="preserve"> და არ იყენებენ დაქირავებულ პირთა შრომას</w:t>
      </w:r>
      <w:r w:rsidRPr="0042384C">
        <w:rPr>
          <w:rFonts w:asciiTheme="majorHAnsi" w:hAnsiTheme="majorHAnsi" w:cs="Calibri"/>
        </w:rPr>
        <w:t xml:space="preserve">. </w:t>
      </w:r>
      <w:r w:rsidR="00A70727" w:rsidRPr="0042384C">
        <w:rPr>
          <w:rFonts w:asciiTheme="majorHAnsi" w:hAnsiTheme="majorHAnsi" w:cs="Calibri"/>
        </w:rPr>
        <w:t>მათ</w:t>
      </w:r>
      <w:r w:rsidRPr="0042384C">
        <w:rPr>
          <w:rFonts w:asciiTheme="majorHAnsi" w:hAnsiTheme="majorHAnsi" w:cs="Calibri"/>
        </w:rPr>
        <w:t xml:space="preserve"> არ ევალებათ სამეწარმეო რეესტრში რეგისტრაცია, თუმცა წარადგენენ ყოველწლიურ საგადასახადო დეკლარაციას. საქართველოს ფინანსთა სამინისტროს საგამოძიებო სამსახური იძიებს უკანონო სამეწარმეო საქმიანობის ფაქტებს.</w:t>
      </w:r>
    </w:p>
    <w:p w14:paraId="3A28027A" w14:textId="3A8B7966" w:rsidR="007A72A8" w:rsidRPr="0042384C" w:rsidRDefault="00AB54D7" w:rsidP="003F7CDA">
      <w:pPr>
        <w:ind w:firstLine="360"/>
        <w:jc w:val="both"/>
        <w:rPr>
          <w:rFonts w:asciiTheme="majorHAnsi" w:hAnsiTheme="majorHAnsi" w:cs="Calibri"/>
        </w:rPr>
      </w:pPr>
      <w:r w:rsidRPr="0042384C">
        <w:rPr>
          <w:rFonts w:asciiTheme="majorHAnsi" w:hAnsiTheme="majorHAnsi" w:cs="Calibri"/>
        </w:rPr>
        <w:t>საქართველოში არაფორმალური ეკონომიკის წილი სტაბილურად მცირდება. ამას ხელს უწყობს ეფექტური საგადასახადო ადმინისტრირება, ნაღდი ფულის წილის შემცირება საქონლის</w:t>
      </w:r>
      <w:r w:rsidR="00E822A9" w:rsidRPr="0042384C">
        <w:rPr>
          <w:rFonts w:asciiTheme="majorHAnsi" w:hAnsiTheme="majorHAnsi" w:cs="Calibri"/>
        </w:rPr>
        <w:t xml:space="preserve">ა და </w:t>
      </w:r>
      <w:r w:rsidRPr="0042384C">
        <w:rPr>
          <w:rFonts w:asciiTheme="majorHAnsi" w:hAnsiTheme="majorHAnsi" w:cs="Calibri"/>
        </w:rPr>
        <w:t>მომსახურებისთვის ანგარიშ</w:t>
      </w:r>
      <w:r w:rsidR="00E822A9" w:rsidRPr="0042384C">
        <w:rPr>
          <w:rFonts w:asciiTheme="majorHAnsi" w:hAnsiTheme="majorHAnsi" w:cs="Calibri"/>
        </w:rPr>
        <w:t>ს</w:t>
      </w:r>
      <w:r w:rsidRPr="0042384C">
        <w:rPr>
          <w:rFonts w:asciiTheme="majorHAnsi" w:hAnsiTheme="majorHAnsi" w:cs="Calibri"/>
        </w:rPr>
        <w:t>წორების</w:t>
      </w:r>
      <w:r w:rsidR="00E822A9" w:rsidRPr="0042384C">
        <w:rPr>
          <w:rFonts w:asciiTheme="majorHAnsi" w:hAnsiTheme="majorHAnsi" w:cs="Calibri"/>
        </w:rPr>
        <w:t>თვის</w:t>
      </w:r>
      <w:r w:rsidRPr="0042384C">
        <w:rPr>
          <w:rFonts w:asciiTheme="majorHAnsi" w:hAnsiTheme="majorHAnsi" w:cs="Calibri"/>
        </w:rPr>
        <w:t xml:space="preserve"> და საბანკო ანგარიშების მქონე საქართველოს მოსახლეობის რაოდენობის ზრდა. მიუხედავად ამისა, დაუკვირვებადი ეკონომიკის წილი მთლიან შიდა პროდუქტში 10%-ს აღემატება და განიხილება როგორც მომეტებული რისკის კონტექსტური ფაქტორი.</w:t>
      </w:r>
    </w:p>
    <w:p w14:paraId="42F07DFC" w14:textId="7CEEB012" w:rsidR="007A72A8" w:rsidRPr="0042384C" w:rsidRDefault="007A72A8" w:rsidP="003E3540">
      <w:pPr>
        <w:ind w:firstLine="360"/>
        <w:rPr>
          <w:rFonts w:asciiTheme="majorHAnsi" w:hAnsiTheme="majorHAnsi" w:cs="Calibri"/>
          <w:b/>
        </w:rPr>
      </w:pPr>
      <w:r w:rsidRPr="0042384C">
        <w:rPr>
          <w:rFonts w:asciiTheme="majorHAnsi" w:hAnsiTheme="majorHAnsi" w:cs="Calibri"/>
          <w:b/>
        </w:rPr>
        <w:t>2. პოლიტიკურად აქტიური პირები</w:t>
      </w:r>
    </w:p>
    <w:p w14:paraId="5C89256A" w14:textId="54A447E5" w:rsidR="00AE6318" w:rsidRPr="0042384C" w:rsidRDefault="007A72A8" w:rsidP="003F7CDA">
      <w:pPr>
        <w:ind w:firstLine="360"/>
        <w:jc w:val="both"/>
        <w:rPr>
          <w:rFonts w:asciiTheme="majorHAnsi" w:hAnsiTheme="majorHAnsi" w:cs="Calibri"/>
        </w:rPr>
      </w:pPr>
      <w:r w:rsidRPr="0042384C">
        <w:rPr>
          <w:rFonts w:asciiTheme="majorHAnsi" w:hAnsiTheme="majorHAnsi" w:cs="Calibri"/>
        </w:rPr>
        <w:t xml:space="preserve">საქართველოში მოქმედ ბანკებს, 2022 წლის მდგომარეობით, კლიენტებს შორის ჰყავდათ 146 უცხო ქვეყნის პოლიტიკურად აქტიური პირი, მისი ოჯახის წევრი ან მჭიდრო საქმიან ურთიერთობაში მყოფი პირი. სხვა საფინანსო ინსტიტუტებს შორის ასეთი კლიენტების რაოდენობა უმნიშვნელოა. </w:t>
      </w:r>
    </w:p>
    <w:p w14:paraId="3BFB7ACC" w14:textId="3166C92D" w:rsidR="007A72A8" w:rsidRPr="0042384C" w:rsidRDefault="007A72A8" w:rsidP="003F7CDA">
      <w:pPr>
        <w:ind w:firstLine="360"/>
        <w:jc w:val="both"/>
        <w:rPr>
          <w:rFonts w:asciiTheme="majorHAnsi" w:hAnsiTheme="majorHAnsi" w:cs="Calibri"/>
        </w:rPr>
      </w:pPr>
      <w:r w:rsidRPr="0042384C">
        <w:rPr>
          <w:rFonts w:asciiTheme="majorHAnsi" w:hAnsiTheme="majorHAnsi" w:cs="Calibri"/>
        </w:rPr>
        <w:t xml:space="preserve">ბანკების კლიენტი </w:t>
      </w:r>
      <w:r w:rsidR="00AE6318" w:rsidRPr="0042384C">
        <w:rPr>
          <w:rFonts w:asciiTheme="majorHAnsi" w:hAnsiTheme="majorHAnsi" w:cs="Calibri"/>
        </w:rPr>
        <w:t xml:space="preserve">უცხო ქვეყნის </w:t>
      </w:r>
      <w:r w:rsidRPr="0042384C">
        <w:rPr>
          <w:rFonts w:asciiTheme="majorHAnsi" w:hAnsiTheme="majorHAnsi" w:cs="Calibri"/>
        </w:rPr>
        <w:t xml:space="preserve">პოლიტიკურად აქტიური პირების აბსოლუტური უმეტესობა სხვა სახელმწიფოთა დიპლომატიური წარმომადგენლობების და საერთაშორისო ორგანიზაციების ხელმძღვანელი პირები არიან. შესაბამისად, საქართველო არ წარმოადგენს სხვა ქვეყნების </w:t>
      </w:r>
      <w:r w:rsidR="00AE6318" w:rsidRPr="0042384C">
        <w:rPr>
          <w:rFonts w:asciiTheme="majorHAnsi" w:hAnsiTheme="majorHAnsi" w:cs="Calibri"/>
        </w:rPr>
        <w:t xml:space="preserve">პოლიტიკურად აქტიური პირების </w:t>
      </w:r>
      <w:r w:rsidRPr="0042384C">
        <w:rPr>
          <w:rFonts w:asciiTheme="majorHAnsi" w:hAnsiTheme="majorHAnsi" w:cs="Calibri"/>
        </w:rPr>
        <w:t>მიერ დაგროვილი ქონების ინვესტირების</w:t>
      </w:r>
      <w:r w:rsidR="009749E8" w:rsidRPr="0042384C">
        <w:rPr>
          <w:rFonts w:asciiTheme="majorHAnsi" w:hAnsiTheme="majorHAnsi" w:cs="Calibri"/>
        </w:rPr>
        <w:t>თვის</w:t>
      </w:r>
      <w:r w:rsidRPr="0042384C">
        <w:rPr>
          <w:rFonts w:asciiTheme="majorHAnsi" w:hAnsiTheme="majorHAnsi" w:cs="Calibri"/>
        </w:rPr>
        <w:t xml:space="preserve"> სასურველ ადგილს. ამას </w:t>
      </w:r>
      <w:r w:rsidR="009749E8" w:rsidRPr="0042384C">
        <w:rPr>
          <w:rFonts w:asciiTheme="majorHAnsi" w:hAnsiTheme="majorHAnsi" w:cs="Calibri"/>
        </w:rPr>
        <w:t>ნაწილობრივ ისიც</w:t>
      </w:r>
      <w:r w:rsidRPr="0042384C">
        <w:rPr>
          <w:rFonts w:asciiTheme="majorHAnsi" w:hAnsiTheme="majorHAnsi" w:cs="Calibri"/>
        </w:rPr>
        <w:t xml:space="preserve"> განაპირობებს, რომ დაგროვილი ქონების მართვას არ უკა</w:t>
      </w:r>
      <w:r w:rsidR="00A93B6A" w:rsidRPr="0042384C">
        <w:rPr>
          <w:rFonts w:asciiTheme="majorHAnsi" w:hAnsiTheme="majorHAnsi" w:cs="Calibri"/>
        </w:rPr>
        <w:t>ვ</w:t>
      </w:r>
      <w:r w:rsidRPr="0042384C">
        <w:rPr>
          <w:rFonts w:asciiTheme="majorHAnsi" w:hAnsiTheme="majorHAnsi" w:cs="Calibri"/>
        </w:rPr>
        <w:t>ია მნიშვნელოვანი წილი საქართველოში მოქმედი ბანკების და სხვა საფინანსო ინსტიტუტების პორტფელში.</w:t>
      </w:r>
    </w:p>
    <w:p w14:paraId="3266B013" w14:textId="6362157C" w:rsidR="007A72A8" w:rsidRPr="0042384C" w:rsidRDefault="007A72A8" w:rsidP="003F7CDA">
      <w:pPr>
        <w:ind w:firstLine="360"/>
        <w:jc w:val="both"/>
        <w:rPr>
          <w:rFonts w:asciiTheme="majorHAnsi" w:hAnsiTheme="majorHAnsi" w:cs="Calibri"/>
        </w:rPr>
      </w:pPr>
      <w:r w:rsidRPr="0042384C">
        <w:rPr>
          <w:rFonts w:asciiTheme="majorHAnsi" w:hAnsiTheme="majorHAnsi" w:cs="Calibri"/>
        </w:rPr>
        <w:t>ადგილობრივი პოლიტიკურად აქტიური პირებ</w:t>
      </w:r>
      <w:r w:rsidR="00AE6318" w:rsidRPr="0042384C">
        <w:rPr>
          <w:rFonts w:asciiTheme="majorHAnsi" w:hAnsiTheme="majorHAnsi" w:cs="Calibri"/>
        </w:rPr>
        <w:t>თან</w:t>
      </w:r>
      <w:r w:rsidRPr="0042384C">
        <w:rPr>
          <w:rFonts w:asciiTheme="majorHAnsi" w:hAnsiTheme="majorHAnsi" w:cs="Calibri"/>
        </w:rPr>
        <w:t>, მათი ოჯახის წევრებ</w:t>
      </w:r>
      <w:r w:rsidR="00AE6318" w:rsidRPr="0042384C">
        <w:rPr>
          <w:rFonts w:asciiTheme="majorHAnsi" w:hAnsiTheme="majorHAnsi" w:cs="Calibri"/>
        </w:rPr>
        <w:t>თან</w:t>
      </w:r>
      <w:r w:rsidRPr="0042384C">
        <w:rPr>
          <w:rFonts w:asciiTheme="majorHAnsi" w:hAnsiTheme="majorHAnsi" w:cs="Calibri"/>
        </w:rPr>
        <w:t xml:space="preserve"> და მჭიდრო საქმიან ურთიერთობაში </w:t>
      </w:r>
      <w:r w:rsidR="00AE6318" w:rsidRPr="0042384C">
        <w:rPr>
          <w:rFonts w:asciiTheme="majorHAnsi" w:hAnsiTheme="majorHAnsi" w:cs="Calibri"/>
        </w:rPr>
        <w:t>მყოფ</w:t>
      </w:r>
      <w:r w:rsidRPr="0042384C">
        <w:rPr>
          <w:rFonts w:asciiTheme="majorHAnsi" w:hAnsiTheme="majorHAnsi" w:cs="Calibri"/>
        </w:rPr>
        <w:t xml:space="preserve"> პირებთან მიმართებით საქართველოს კანონმდებლობა მოითხოვს ფინანსური ქმედების სპეციალური ჯგუფის (შემდგომ </w:t>
      </w:r>
      <w:r w:rsidR="001922B9">
        <w:rPr>
          <w:rFonts w:asciiTheme="majorHAnsi" w:hAnsiTheme="majorHAnsi" w:cs="Calibri"/>
        </w:rPr>
        <w:t>−</w:t>
      </w:r>
      <w:r w:rsidRPr="0042384C">
        <w:rPr>
          <w:rFonts w:asciiTheme="majorHAnsi" w:hAnsiTheme="majorHAnsi" w:cs="Calibri"/>
        </w:rPr>
        <w:t xml:space="preserve"> „FATF“) სტანდარტებზე მკაცრი ზომების გატარებას. კერძოდ, ანგარიშვალდებულ პირებს ევალებათ გაძლიერებული პრევენციული ზომების გატარება ყველა ასეთი პირის მიმართ, მათ შორის მათი ქონებისა და ფულადი სახსრების წყაროს შესწავლა.</w:t>
      </w:r>
    </w:p>
    <w:p w14:paraId="774F246B" w14:textId="4150D102" w:rsidR="001679EF" w:rsidRPr="0042384C" w:rsidRDefault="007A72A8" w:rsidP="003F7CDA">
      <w:pPr>
        <w:ind w:firstLine="360"/>
        <w:jc w:val="both"/>
        <w:rPr>
          <w:rFonts w:asciiTheme="majorHAnsi" w:hAnsiTheme="majorHAnsi" w:cs="Calibri"/>
        </w:rPr>
      </w:pPr>
      <w:r w:rsidRPr="0042384C">
        <w:rPr>
          <w:rFonts w:asciiTheme="majorHAnsi" w:hAnsiTheme="majorHAnsi" w:cs="Calibri"/>
        </w:rPr>
        <w:t xml:space="preserve">გარდა ამისა, 2023 წლის საერთაშორისო გამჭვირვალობის „კორუფციის აღქმის ინდექსში“, რომელიც ქვეყნებში კორუფციის დონეს ზომავს, საქართველოს 49-ე </w:t>
      </w:r>
      <w:r w:rsidRPr="0042384C">
        <w:rPr>
          <w:rFonts w:asciiTheme="majorHAnsi" w:hAnsiTheme="majorHAnsi" w:cs="Calibri"/>
        </w:rPr>
        <w:lastRenderedPageBreak/>
        <w:t xml:space="preserve">ადგილი უკავია. ეს მაჩვენებელი აღმოსავლეთ ევროპის და ცენტრალური აზიის რეგიონში საუკეთესო შედეგია. საქართველოში ასევე მოქმედებს თანამდებობის პირების და მათი ოჯახის წევრების ქონებრივი დეკლარაციების წარდგენისა და მონიტორინგის სისტემა. ამ სისტემის ეფექტურობას პერიოდულად ამოწმებს გაეროს ნარკოტიკების და დანაშაულის წინააღმდეგ ბრძოლის ბიურო (შემდგომ </w:t>
      </w:r>
      <w:r w:rsidR="001922B9">
        <w:rPr>
          <w:rFonts w:asciiTheme="majorHAnsi" w:hAnsiTheme="majorHAnsi" w:cs="Calibri"/>
        </w:rPr>
        <w:t>−</w:t>
      </w:r>
      <w:r w:rsidRPr="0042384C">
        <w:rPr>
          <w:rFonts w:asciiTheme="majorHAnsi" w:hAnsiTheme="majorHAnsi" w:cs="Calibri"/>
        </w:rPr>
        <w:t xml:space="preserve"> „UNODC“).</w:t>
      </w:r>
      <w:r w:rsidR="009749E8" w:rsidRPr="0042384C">
        <w:rPr>
          <w:rFonts w:asciiTheme="majorHAnsi" w:hAnsiTheme="majorHAnsi" w:cs="Calibri"/>
        </w:rPr>
        <w:t xml:space="preserve"> </w:t>
      </w:r>
    </w:p>
    <w:p w14:paraId="38984B72" w14:textId="1C2FCB8E" w:rsidR="001679EF" w:rsidRPr="0042384C" w:rsidRDefault="001679EF" w:rsidP="007A72A8">
      <w:pPr>
        <w:ind w:firstLine="360"/>
        <w:jc w:val="both"/>
        <w:rPr>
          <w:rFonts w:asciiTheme="minorHAnsi" w:hAnsiTheme="minorHAnsi"/>
        </w:rPr>
      </w:pPr>
      <w:r w:rsidRPr="0042384C">
        <w:rPr>
          <w:rFonts w:ascii="Sylfaen" w:hAnsi="Sylfaen" w:cs="Sylfaen"/>
        </w:rPr>
        <w:t xml:space="preserve">კორუფციის წინააღმდეგ ბრძოლის ინსტიტუციონალური გაძლიერების მიზნით </w:t>
      </w:r>
      <w:r w:rsidRPr="0042384C">
        <w:rPr>
          <w:rFonts w:ascii="Cambria" w:hAnsi="Cambria"/>
        </w:rPr>
        <w:t xml:space="preserve">2022 </w:t>
      </w:r>
      <w:r w:rsidRPr="0042384C">
        <w:rPr>
          <w:rFonts w:ascii="Sylfaen" w:hAnsi="Sylfaen" w:cs="Sylfaen"/>
        </w:rPr>
        <w:t>წელს</w:t>
      </w:r>
      <w:r w:rsidRPr="0042384C">
        <w:rPr>
          <w:rFonts w:ascii="Cambria" w:hAnsi="Cambria"/>
        </w:rPr>
        <w:t xml:space="preserve">, </w:t>
      </w:r>
      <w:r w:rsidRPr="0042384C">
        <w:rPr>
          <w:rFonts w:ascii="Sylfaen" w:hAnsi="Sylfaen" w:cs="Sylfaen"/>
        </w:rPr>
        <w:t>ევროკომისიის</w:t>
      </w:r>
      <w:r w:rsidRPr="0042384C">
        <w:rPr>
          <w:rFonts w:ascii="Cambria" w:hAnsi="Cambria"/>
        </w:rPr>
        <w:t xml:space="preserve"> </w:t>
      </w:r>
      <w:r w:rsidRPr="0042384C">
        <w:rPr>
          <w:rFonts w:ascii="Sylfaen" w:hAnsi="Sylfaen" w:cs="Sylfaen"/>
        </w:rPr>
        <w:t>რეკომენდაციების</w:t>
      </w:r>
      <w:r w:rsidRPr="0042384C">
        <w:rPr>
          <w:rFonts w:ascii="Cambria" w:hAnsi="Cambria"/>
        </w:rPr>
        <w:t xml:space="preserve"> </w:t>
      </w:r>
      <w:r w:rsidRPr="0042384C">
        <w:rPr>
          <w:rFonts w:ascii="Sylfaen" w:hAnsi="Sylfaen" w:cs="Sylfaen"/>
        </w:rPr>
        <w:t>საფუძველზე</w:t>
      </w:r>
      <w:r w:rsidRPr="0042384C">
        <w:rPr>
          <w:rFonts w:ascii="Cambria" w:hAnsi="Cambria"/>
        </w:rPr>
        <w:t xml:space="preserve">, </w:t>
      </w:r>
      <w:r w:rsidRPr="0042384C">
        <w:rPr>
          <w:rFonts w:ascii="Sylfaen" w:hAnsi="Sylfaen" w:cs="Sylfaen"/>
        </w:rPr>
        <w:t>დამოუკიდებელი</w:t>
      </w:r>
      <w:r w:rsidRPr="0042384C">
        <w:rPr>
          <w:rFonts w:ascii="Cambria" w:hAnsi="Cambria"/>
        </w:rPr>
        <w:t xml:space="preserve"> </w:t>
      </w:r>
      <w:r w:rsidRPr="0042384C">
        <w:rPr>
          <w:rFonts w:ascii="Sylfaen" w:hAnsi="Sylfaen" w:cs="Sylfaen"/>
        </w:rPr>
        <w:t>უწყების</w:t>
      </w:r>
      <w:r w:rsidRPr="0042384C">
        <w:rPr>
          <w:rFonts w:ascii="Cambria" w:hAnsi="Cambria"/>
        </w:rPr>
        <w:t xml:space="preserve"> </w:t>
      </w:r>
      <w:r w:rsidR="001922B9">
        <w:rPr>
          <w:rFonts w:asciiTheme="majorHAnsi" w:hAnsiTheme="majorHAnsi" w:cs="Calibri"/>
        </w:rPr>
        <w:t>−</w:t>
      </w:r>
      <w:r w:rsidRPr="0042384C">
        <w:rPr>
          <w:rFonts w:ascii="Cambria" w:hAnsi="Cambria"/>
        </w:rPr>
        <w:t xml:space="preserve"> </w:t>
      </w:r>
      <w:r w:rsidRPr="0042384C">
        <w:rPr>
          <w:rFonts w:ascii="Sylfaen" w:hAnsi="Sylfaen" w:cs="Sylfaen"/>
        </w:rPr>
        <w:t>ანტიკორუფციული</w:t>
      </w:r>
      <w:r w:rsidRPr="0042384C">
        <w:rPr>
          <w:rFonts w:ascii="Cambria" w:hAnsi="Cambria"/>
        </w:rPr>
        <w:t xml:space="preserve"> </w:t>
      </w:r>
      <w:r w:rsidRPr="0042384C">
        <w:rPr>
          <w:rFonts w:ascii="Sylfaen" w:hAnsi="Sylfaen" w:cs="Sylfaen"/>
        </w:rPr>
        <w:t>ბიუროს</w:t>
      </w:r>
      <w:r w:rsidRPr="0042384C">
        <w:rPr>
          <w:rFonts w:ascii="Cambria" w:hAnsi="Cambria"/>
        </w:rPr>
        <w:t xml:space="preserve"> </w:t>
      </w:r>
      <w:r w:rsidRPr="0042384C">
        <w:rPr>
          <w:rFonts w:ascii="Sylfaen" w:hAnsi="Sylfaen" w:cs="Sylfaen"/>
        </w:rPr>
        <w:t>შექმნამ</w:t>
      </w:r>
      <w:r w:rsidRPr="0042384C">
        <w:rPr>
          <w:rFonts w:ascii="Cambria" w:hAnsi="Cambria"/>
        </w:rPr>
        <w:t xml:space="preserve"> </w:t>
      </w:r>
      <w:r w:rsidRPr="0042384C">
        <w:rPr>
          <w:rFonts w:ascii="Sylfaen" w:hAnsi="Sylfaen" w:cs="Sylfaen"/>
        </w:rPr>
        <w:t>მნიშვნელოვანი</w:t>
      </w:r>
      <w:r w:rsidRPr="0042384C">
        <w:rPr>
          <w:rFonts w:ascii="Cambria" w:hAnsi="Cambria"/>
        </w:rPr>
        <w:t xml:space="preserve"> </w:t>
      </w:r>
      <w:r w:rsidRPr="0042384C">
        <w:rPr>
          <w:rFonts w:ascii="Sylfaen" w:hAnsi="Sylfaen" w:cs="Sylfaen"/>
        </w:rPr>
        <w:t>როლი</w:t>
      </w:r>
      <w:r w:rsidRPr="0042384C">
        <w:rPr>
          <w:rFonts w:ascii="Cambria" w:hAnsi="Cambria"/>
        </w:rPr>
        <w:t xml:space="preserve"> </w:t>
      </w:r>
      <w:r w:rsidRPr="0042384C">
        <w:rPr>
          <w:rFonts w:ascii="Sylfaen" w:hAnsi="Sylfaen" w:cs="Sylfaen"/>
        </w:rPr>
        <w:t>ითამაშა</w:t>
      </w:r>
      <w:r w:rsidRPr="0042384C">
        <w:rPr>
          <w:rFonts w:ascii="Cambria" w:hAnsi="Cambria"/>
        </w:rPr>
        <w:t xml:space="preserve">. </w:t>
      </w:r>
      <w:r w:rsidRPr="0042384C">
        <w:rPr>
          <w:rFonts w:ascii="Sylfaen" w:hAnsi="Sylfaen" w:cs="Sylfaen"/>
        </w:rPr>
        <w:t>ბიუროს</w:t>
      </w:r>
      <w:r w:rsidRPr="0042384C">
        <w:rPr>
          <w:rFonts w:ascii="Cambria" w:hAnsi="Cambria"/>
        </w:rPr>
        <w:t xml:space="preserve"> </w:t>
      </w:r>
      <w:r w:rsidRPr="0042384C">
        <w:rPr>
          <w:rFonts w:ascii="Sylfaen" w:hAnsi="Sylfaen" w:cs="Sylfaen"/>
        </w:rPr>
        <w:t>ძირითადი</w:t>
      </w:r>
      <w:r w:rsidRPr="0042384C">
        <w:rPr>
          <w:rFonts w:ascii="Cambria" w:hAnsi="Cambria"/>
        </w:rPr>
        <w:t xml:space="preserve"> </w:t>
      </w:r>
      <w:r w:rsidRPr="0042384C">
        <w:rPr>
          <w:rFonts w:ascii="Sylfaen" w:hAnsi="Sylfaen" w:cs="Sylfaen"/>
        </w:rPr>
        <w:t>მიზანია</w:t>
      </w:r>
      <w:r w:rsidRPr="0042384C">
        <w:rPr>
          <w:rFonts w:ascii="Cambria" w:hAnsi="Cambria"/>
        </w:rPr>
        <w:t xml:space="preserve"> </w:t>
      </w:r>
      <w:r w:rsidRPr="0042384C">
        <w:rPr>
          <w:rFonts w:ascii="Sylfaen" w:hAnsi="Sylfaen" w:cs="Sylfaen"/>
        </w:rPr>
        <w:t>უზრუნველყოს</w:t>
      </w:r>
      <w:r w:rsidRPr="0042384C">
        <w:rPr>
          <w:rFonts w:ascii="Cambria" w:hAnsi="Cambria"/>
        </w:rPr>
        <w:t xml:space="preserve"> </w:t>
      </w:r>
      <w:r w:rsidRPr="0042384C">
        <w:rPr>
          <w:rFonts w:ascii="Sylfaen" w:hAnsi="Sylfaen" w:cs="Sylfaen"/>
        </w:rPr>
        <w:t>ანტიკორუფციული</w:t>
      </w:r>
      <w:r w:rsidRPr="0042384C">
        <w:rPr>
          <w:rFonts w:ascii="Cambria" w:hAnsi="Cambria"/>
        </w:rPr>
        <w:t xml:space="preserve"> </w:t>
      </w:r>
      <w:r w:rsidRPr="0042384C">
        <w:rPr>
          <w:rFonts w:ascii="Sylfaen" w:hAnsi="Sylfaen" w:cs="Sylfaen"/>
        </w:rPr>
        <w:t>მიმართულებით</w:t>
      </w:r>
      <w:r w:rsidRPr="0042384C">
        <w:rPr>
          <w:rFonts w:ascii="Cambria" w:hAnsi="Cambria"/>
        </w:rPr>
        <w:t xml:space="preserve"> </w:t>
      </w:r>
      <w:r w:rsidRPr="0042384C">
        <w:rPr>
          <w:rFonts w:ascii="Sylfaen" w:hAnsi="Sylfaen" w:cs="Sylfaen"/>
        </w:rPr>
        <w:t>პრევენციული</w:t>
      </w:r>
      <w:r w:rsidRPr="0042384C">
        <w:rPr>
          <w:rFonts w:ascii="Cambria" w:hAnsi="Cambria"/>
        </w:rPr>
        <w:t xml:space="preserve"> </w:t>
      </w:r>
      <w:r w:rsidRPr="0042384C">
        <w:rPr>
          <w:rFonts w:ascii="Sylfaen" w:hAnsi="Sylfaen" w:cs="Sylfaen"/>
        </w:rPr>
        <w:t>ღონისძიებების</w:t>
      </w:r>
      <w:r w:rsidRPr="0042384C">
        <w:rPr>
          <w:rFonts w:ascii="Cambria" w:hAnsi="Cambria"/>
        </w:rPr>
        <w:t xml:space="preserve"> </w:t>
      </w:r>
      <w:r w:rsidRPr="0042384C">
        <w:rPr>
          <w:rFonts w:ascii="Sylfaen" w:hAnsi="Sylfaen" w:cs="Sylfaen"/>
        </w:rPr>
        <w:t>გატარება</w:t>
      </w:r>
      <w:r w:rsidRPr="0042384C">
        <w:rPr>
          <w:rFonts w:ascii="Cambria" w:hAnsi="Cambria"/>
        </w:rPr>
        <w:t>.</w:t>
      </w:r>
      <w:r w:rsidRPr="0042384C">
        <w:rPr>
          <w:rFonts w:asciiTheme="minorHAnsi" w:hAnsiTheme="minorHAnsi"/>
        </w:rPr>
        <w:t xml:space="preserve"> </w:t>
      </w:r>
      <w:r w:rsidRPr="0042384C">
        <w:rPr>
          <w:rFonts w:ascii="Sylfaen" w:hAnsi="Sylfaen" w:cs="Sylfaen"/>
        </w:rPr>
        <w:t>ანტიკორუფციული</w:t>
      </w:r>
      <w:r w:rsidRPr="0042384C">
        <w:rPr>
          <w:rFonts w:ascii="Cambria" w:hAnsi="Cambria"/>
        </w:rPr>
        <w:t xml:space="preserve"> </w:t>
      </w:r>
      <w:r w:rsidRPr="0042384C">
        <w:rPr>
          <w:rFonts w:ascii="Sylfaen" w:hAnsi="Sylfaen" w:cs="Sylfaen"/>
        </w:rPr>
        <w:t>ბიურო</w:t>
      </w:r>
      <w:r w:rsidRPr="0042384C">
        <w:rPr>
          <w:rFonts w:ascii="Cambria" w:hAnsi="Cambria"/>
        </w:rPr>
        <w:t xml:space="preserve"> </w:t>
      </w:r>
      <w:r w:rsidRPr="0042384C">
        <w:rPr>
          <w:rFonts w:ascii="Sylfaen" w:hAnsi="Sylfaen" w:cs="Sylfaen"/>
        </w:rPr>
        <w:t>სრული</w:t>
      </w:r>
      <w:r w:rsidRPr="0042384C">
        <w:rPr>
          <w:rFonts w:ascii="Cambria" w:hAnsi="Cambria"/>
        </w:rPr>
        <w:t xml:space="preserve"> </w:t>
      </w:r>
      <w:r w:rsidRPr="0042384C">
        <w:rPr>
          <w:rFonts w:ascii="Sylfaen" w:hAnsi="Sylfaen" w:cs="Sylfaen"/>
        </w:rPr>
        <w:t>მანდატით</w:t>
      </w:r>
      <w:r w:rsidRPr="0042384C">
        <w:rPr>
          <w:rFonts w:ascii="Cambria" w:hAnsi="Cambria"/>
        </w:rPr>
        <w:t xml:space="preserve"> 2023 </w:t>
      </w:r>
      <w:r w:rsidRPr="0042384C">
        <w:rPr>
          <w:rFonts w:ascii="Sylfaen" w:hAnsi="Sylfaen" w:cs="Sylfaen"/>
        </w:rPr>
        <w:t>წლის</w:t>
      </w:r>
      <w:r w:rsidRPr="0042384C">
        <w:rPr>
          <w:rFonts w:ascii="Cambria" w:hAnsi="Cambria"/>
        </w:rPr>
        <w:t xml:space="preserve"> </w:t>
      </w:r>
      <w:r w:rsidRPr="0042384C">
        <w:rPr>
          <w:rFonts w:ascii="Sylfaen" w:hAnsi="Sylfaen" w:cs="Sylfaen"/>
        </w:rPr>
        <w:t>პირველი</w:t>
      </w:r>
      <w:r w:rsidRPr="0042384C">
        <w:rPr>
          <w:rFonts w:ascii="Cambria" w:hAnsi="Cambria"/>
        </w:rPr>
        <w:t xml:space="preserve"> </w:t>
      </w:r>
      <w:r w:rsidRPr="0042384C">
        <w:rPr>
          <w:rFonts w:ascii="Sylfaen" w:hAnsi="Sylfaen" w:cs="Sylfaen"/>
        </w:rPr>
        <w:t>სექტემბრიდან</w:t>
      </w:r>
      <w:r w:rsidRPr="0042384C">
        <w:rPr>
          <w:rFonts w:ascii="Cambria" w:hAnsi="Cambria"/>
        </w:rPr>
        <w:t xml:space="preserve"> </w:t>
      </w:r>
      <w:r w:rsidRPr="0042384C">
        <w:rPr>
          <w:rFonts w:ascii="Sylfaen" w:hAnsi="Sylfaen" w:cs="Sylfaen"/>
        </w:rPr>
        <w:t>ამოქმედდა</w:t>
      </w:r>
      <w:r w:rsidRPr="0042384C">
        <w:rPr>
          <w:rFonts w:ascii="Cambria" w:hAnsi="Cambria"/>
        </w:rPr>
        <w:t xml:space="preserve">. </w:t>
      </w:r>
      <w:r w:rsidRPr="0042384C">
        <w:rPr>
          <w:rFonts w:ascii="Sylfaen" w:hAnsi="Sylfaen" w:cs="Sylfaen"/>
        </w:rPr>
        <w:t>ბიუროს</w:t>
      </w:r>
      <w:r w:rsidRPr="0042384C">
        <w:rPr>
          <w:rFonts w:ascii="Cambria" w:hAnsi="Cambria"/>
        </w:rPr>
        <w:t xml:space="preserve"> </w:t>
      </w:r>
      <w:r w:rsidRPr="0042384C">
        <w:rPr>
          <w:rFonts w:ascii="Sylfaen" w:hAnsi="Sylfaen" w:cs="Sylfaen"/>
        </w:rPr>
        <w:t>ამ</w:t>
      </w:r>
      <w:r w:rsidRPr="0042384C">
        <w:rPr>
          <w:rFonts w:ascii="Cambria" w:hAnsi="Cambria"/>
        </w:rPr>
        <w:t xml:space="preserve"> </w:t>
      </w:r>
      <w:r w:rsidRPr="0042384C">
        <w:rPr>
          <w:rFonts w:ascii="Sylfaen" w:hAnsi="Sylfaen" w:cs="Sylfaen"/>
        </w:rPr>
        <w:t>პერიოდიდან</w:t>
      </w:r>
      <w:r w:rsidRPr="0042384C">
        <w:rPr>
          <w:rFonts w:ascii="Cambria" w:hAnsi="Cambria"/>
        </w:rPr>
        <w:t xml:space="preserve"> </w:t>
      </w:r>
      <w:r w:rsidRPr="0042384C">
        <w:rPr>
          <w:rFonts w:ascii="Sylfaen" w:hAnsi="Sylfaen" w:cs="Sylfaen"/>
        </w:rPr>
        <w:t>გადაეცა</w:t>
      </w:r>
      <w:r w:rsidRPr="0042384C">
        <w:rPr>
          <w:rFonts w:ascii="Cambria" w:hAnsi="Cambria"/>
        </w:rPr>
        <w:t xml:space="preserve"> </w:t>
      </w:r>
      <w:r w:rsidRPr="0042384C">
        <w:rPr>
          <w:rFonts w:ascii="Sylfaen" w:hAnsi="Sylfaen" w:cs="Sylfaen"/>
        </w:rPr>
        <w:t>ორი</w:t>
      </w:r>
      <w:r w:rsidRPr="0042384C">
        <w:rPr>
          <w:rFonts w:ascii="Cambria" w:hAnsi="Cambria"/>
        </w:rPr>
        <w:t xml:space="preserve"> </w:t>
      </w:r>
      <w:r w:rsidRPr="0042384C">
        <w:rPr>
          <w:rFonts w:ascii="Sylfaen" w:hAnsi="Sylfaen" w:cs="Sylfaen"/>
        </w:rPr>
        <w:t>მნიშვნელოვანი</w:t>
      </w:r>
      <w:r w:rsidRPr="0042384C">
        <w:rPr>
          <w:rFonts w:ascii="Cambria" w:hAnsi="Cambria"/>
        </w:rPr>
        <w:t xml:space="preserve"> </w:t>
      </w:r>
      <w:r w:rsidRPr="0042384C">
        <w:rPr>
          <w:rFonts w:ascii="Sylfaen" w:hAnsi="Sylfaen" w:cs="Sylfaen"/>
        </w:rPr>
        <w:t>ფუნქცია</w:t>
      </w:r>
      <w:r w:rsidRPr="0042384C">
        <w:rPr>
          <w:rFonts w:ascii="Cambria" w:hAnsi="Cambria"/>
        </w:rPr>
        <w:t xml:space="preserve"> </w:t>
      </w:r>
      <w:r w:rsidR="001922B9">
        <w:rPr>
          <w:rFonts w:asciiTheme="majorHAnsi" w:hAnsiTheme="majorHAnsi" w:cs="Calibri"/>
        </w:rPr>
        <w:t>−</w:t>
      </w:r>
      <w:r w:rsidRPr="0042384C">
        <w:rPr>
          <w:rFonts w:ascii="Cambria" w:hAnsi="Cambria"/>
        </w:rPr>
        <w:t xml:space="preserve"> </w:t>
      </w:r>
      <w:r w:rsidRPr="0042384C">
        <w:rPr>
          <w:rFonts w:ascii="Sylfaen" w:hAnsi="Sylfaen" w:cs="Sylfaen"/>
        </w:rPr>
        <w:t>პოლიტიკური</w:t>
      </w:r>
      <w:r w:rsidRPr="0042384C">
        <w:rPr>
          <w:rFonts w:ascii="Cambria" w:hAnsi="Cambria"/>
        </w:rPr>
        <w:t xml:space="preserve"> </w:t>
      </w:r>
      <w:r w:rsidRPr="0042384C">
        <w:rPr>
          <w:rFonts w:ascii="Sylfaen" w:hAnsi="Sylfaen" w:cs="Sylfaen"/>
        </w:rPr>
        <w:t>ფინანსებისა</w:t>
      </w:r>
      <w:r w:rsidRPr="0042384C">
        <w:rPr>
          <w:rFonts w:ascii="Cambria" w:hAnsi="Cambria"/>
        </w:rPr>
        <w:t xml:space="preserve"> </w:t>
      </w:r>
      <w:r w:rsidRPr="0042384C">
        <w:rPr>
          <w:rFonts w:ascii="Sylfaen" w:hAnsi="Sylfaen" w:cs="Sylfaen"/>
        </w:rPr>
        <w:t>და</w:t>
      </w:r>
      <w:r w:rsidRPr="0042384C">
        <w:rPr>
          <w:rFonts w:ascii="Cambria" w:hAnsi="Cambria"/>
        </w:rPr>
        <w:t xml:space="preserve"> </w:t>
      </w:r>
      <w:r w:rsidRPr="0042384C">
        <w:rPr>
          <w:rFonts w:ascii="Sylfaen" w:hAnsi="Sylfaen" w:cs="Sylfaen"/>
        </w:rPr>
        <w:t>ქონებრივი</w:t>
      </w:r>
      <w:r w:rsidRPr="0042384C">
        <w:rPr>
          <w:rFonts w:ascii="Cambria" w:hAnsi="Cambria"/>
        </w:rPr>
        <w:t xml:space="preserve"> </w:t>
      </w:r>
      <w:r w:rsidRPr="0042384C">
        <w:rPr>
          <w:rFonts w:ascii="Sylfaen" w:hAnsi="Sylfaen" w:cs="Sylfaen"/>
        </w:rPr>
        <w:t>მდგომარეობის</w:t>
      </w:r>
      <w:r w:rsidRPr="0042384C">
        <w:rPr>
          <w:rFonts w:ascii="Cambria" w:hAnsi="Cambria"/>
        </w:rPr>
        <w:t xml:space="preserve"> </w:t>
      </w:r>
      <w:r w:rsidRPr="0042384C">
        <w:rPr>
          <w:rFonts w:ascii="Sylfaen" w:hAnsi="Sylfaen" w:cs="Sylfaen"/>
        </w:rPr>
        <w:t>დეკლარაციების</w:t>
      </w:r>
      <w:r w:rsidRPr="0042384C">
        <w:rPr>
          <w:rFonts w:ascii="Cambria" w:hAnsi="Cambria"/>
        </w:rPr>
        <w:t xml:space="preserve"> </w:t>
      </w:r>
      <w:r w:rsidRPr="0042384C">
        <w:rPr>
          <w:rFonts w:ascii="Sylfaen" w:hAnsi="Sylfaen" w:cs="Sylfaen"/>
        </w:rPr>
        <w:t>მონიტორინგი</w:t>
      </w:r>
      <w:r w:rsidRPr="0042384C">
        <w:rPr>
          <w:rFonts w:ascii="Cambria" w:hAnsi="Cambria"/>
        </w:rPr>
        <w:t xml:space="preserve"> </w:t>
      </w:r>
      <w:r w:rsidRPr="0042384C">
        <w:rPr>
          <w:rFonts w:ascii="Sylfaen" w:hAnsi="Sylfaen" w:cs="Sylfaen"/>
        </w:rPr>
        <w:t>და</w:t>
      </w:r>
      <w:r w:rsidRPr="0042384C">
        <w:rPr>
          <w:rFonts w:ascii="Cambria" w:hAnsi="Cambria"/>
        </w:rPr>
        <w:t xml:space="preserve"> </w:t>
      </w:r>
      <w:r w:rsidRPr="0042384C">
        <w:rPr>
          <w:rFonts w:ascii="Sylfaen" w:hAnsi="Sylfaen" w:cs="Sylfaen"/>
        </w:rPr>
        <w:t>მამხილებელთა</w:t>
      </w:r>
      <w:r w:rsidRPr="0042384C">
        <w:rPr>
          <w:rFonts w:ascii="Cambria" w:hAnsi="Cambria"/>
        </w:rPr>
        <w:t xml:space="preserve"> </w:t>
      </w:r>
      <w:r w:rsidRPr="0042384C">
        <w:rPr>
          <w:rFonts w:ascii="Sylfaen" w:hAnsi="Sylfaen" w:cs="Sylfaen"/>
        </w:rPr>
        <w:t>დაცვისა</w:t>
      </w:r>
      <w:r w:rsidRPr="0042384C">
        <w:rPr>
          <w:rFonts w:ascii="Cambria" w:hAnsi="Cambria"/>
        </w:rPr>
        <w:t xml:space="preserve"> </w:t>
      </w:r>
      <w:r w:rsidRPr="0042384C">
        <w:rPr>
          <w:rFonts w:ascii="Sylfaen" w:hAnsi="Sylfaen" w:cs="Sylfaen"/>
        </w:rPr>
        <w:t>და</w:t>
      </w:r>
      <w:r w:rsidRPr="0042384C">
        <w:rPr>
          <w:rFonts w:ascii="Cambria" w:hAnsi="Cambria"/>
        </w:rPr>
        <w:t xml:space="preserve"> </w:t>
      </w:r>
      <w:r w:rsidRPr="0042384C">
        <w:rPr>
          <w:rFonts w:ascii="Sylfaen" w:hAnsi="Sylfaen" w:cs="Sylfaen"/>
        </w:rPr>
        <w:t>ინტერესთა</w:t>
      </w:r>
      <w:r w:rsidRPr="0042384C">
        <w:rPr>
          <w:rFonts w:ascii="Cambria" w:hAnsi="Cambria"/>
        </w:rPr>
        <w:t xml:space="preserve"> </w:t>
      </w:r>
      <w:r w:rsidRPr="0042384C">
        <w:rPr>
          <w:rFonts w:ascii="Sylfaen" w:hAnsi="Sylfaen" w:cs="Sylfaen"/>
        </w:rPr>
        <w:t>შეუთავსებლობის</w:t>
      </w:r>
      <w:r w:rsidRPr="0042384C">
        <w:rPr>
          <w:rFonts w:ascii="Cambria" w:hAnsi="Cambria"/>
        </w:rPr>
        <w:t xml:space="preserve"> </w:t>
      </w:r>
      <w:r w:rsidRPr="0042384C">
        <w:rPr>
          <w:rFonts w:ascii="Sylfaen" w:hAnsi="Sylfaen" w:cs="Sylfaen"/>
        </w:rPr>
        <w:t>სტანდარტების</w:t>
      </w:r>
      <w:r w:rsidRPr="0042384C">
        <w:rPr>
          <w:rFonts w:ascii="Cambria" w:hAnsi="Cambria"/>
        </w:rPr>
        <w:t xml:space="preserve"> </w:t>
      </w:r>
      <w:r w:rsidRPr="0042384C">
        <w:rPr>
          <w:rFonts w:ascii="Sylfaen" w:hAnsi="Sylfaen" w:cs="Sylfaen"/>
        </w:rPr>
        <w:t>გაუმჯობესება</w:t>
      </w:r>
      <w:r w:rsidRPr="0042384C">
        <w:rPr>
          <w:rFonts w:ascii="Cambria" w:hAnsi="Cambria"/>
        </w:rPr>
        <w:t>.</w:t>
      </w:r>
    </w:p>
    <w:p w14:paraId="7266D7E8" w14:textId="012F60FD" w:rsidR="007A72A8" w:rsidRPr="0042384C" w:rsidRDefault="001679EF" w:rsidP="003F7CDA">
      <w:pPr>
        <w:ind w:firstLine="360"/>
        <w:jc w:val="both"/>
        <w:rPr>
          <w:rFonts w:asciiTheme="minorHAnsi" w:hAnsiTheme="minorHAnsi" w:cs="Calibri"/>
        </w:rPr>
      </w:pPr>
      <w:r w:rsidRPr="0042384C">
        <w:rPr>
          <w:rFonts w:ascii="Sylfaen" w:hAnsi="Sylfaen" w:cs="Sylfaen"/>
          <w:b/>
        </w:rPr>
        <w:t>საერთაშორისო</w:t>
      </w:r>
      <w:r w:rsidRPr="0042384C">
        <w:rPr>
          <w:rFonts w:ascii="Cambria" w:hAnsi="Cambria"/>
          <w:b/>
        </w:rPr>
        <w:t xml:space="preserve"> </w:t>
      </w:r>
      <w:r w:rsidRPr="0042384C">
        <w:rPr>
          <w:rFonts w:ascii="Sylfaen" w:hAnsi="Sylfaen" w:cs="Sylfaen"/>
          <w:b/>
        </w:rPr>
        <w:t>შემფასებელი</w:t>
      </w:r>
      <w:r w:rsidRPr="0042384C">
        <w:rPr>
          <w:rFonts w:ascii="Cambria" w:hAnsi="Cambria"/>
          <w:b/>
        </w:rPr>
        <w:t xml:space="preserve"> </w:t>
      </w:r>
      <w:r w:rsidRPr="0042384C">
        <w:rPr>
          <w:rFonts w:ascii="Sylfaen" w:hAnsi="Sylfaen" w:cs="Sylfaen"/>
          <w:b/>
        </w:rPr>
        <w:t>მისიების</w:t>
      </w:r>
      <w:r w:rsidRPr="0042384C">
        <w:rPr>
          <w:rFonts w:ascii="Cambria" w:hAnsi="Cambria" w:cs="Sylfaen"/>
          <w:b/>
        </w:rPr>
        <w:t xml:space="preserve"> </w:t>
      </w:r>
      <w:r w:rsidRPr="0042384C">
        <w:rPr>
          <w:rFonts w:ascii="Sylfaen" w:hAnsi="Sylfaen" w:cs="Sylfaen"/>
          <w:b/>
        </w:rPr>
        <w:t>მიმართულებით</w:t>
      </w:r>
      <w:r w:rsidRPr="0042384C">
        <w:rPr>
          <w:rFonts w:ascii="Cambria" w:hAnsi="Cambria" w:cs="Sylfaen"/>
          <w:b/>
        </w:rPr>
        <w:t xml:space="preserve"> </w:t>
      </w:r>
      <w:r w:rsidRPr="0042384C">
        <w:rPr>
          <w:rFonts w:ascii="Sylfaen" w:hAnsi="Sylfaen" w:cs="Sylfaen"/>
        </w:rPr>
        <w:t>მნიშვნელოვანი</w:t>
      </w:r>
      <w:r w:rsidRPr="0042384C">
        <w:rPr>
          <w:rFonts w:ascii="Cambria" w:hAnsi="Cambria" w:cs="Sylfaen"/>
        </w:rPr>
        <w:t xml:space="preserve"> </w:t>
      </w:r>
      <w:r w:rsidRPr="0042384C">
        <w:rPr>
          <w:rFonts w:ascii="Sylfaen" w:hAnsi="Sylfaen" w:cs="Sylfaen"/>
        </w:rPr>
        <w:t>ნაბიჯები</w:t>
      </w:r>
      <w:r w:rsidRPr="0042384C">
        <w:rPr>
          <w:rFonts w:ascii="Cambria" w:hAnsi="Cambria" w:cs="Sylfaen"/>
        </w:rPr>
        <w:t xml:space="preserve"> </w:t>
      </w:r>
      <w:r w:rsidRPr="0042384C">
        <w:rPr>
          <w:rFonts w:ascii="Sylfaen" w:hAnsi="Sylfaen" w:cs="Sylfaen"/>
        </w:rPr>
        <w:t>გადაიდგა</w:t>
      </w:r>
      <w:r w:rsidRPr="0042384C">
        <w:rPr>
          <w:rFonts w:ascii="Cambria" w:hAnsi="Cambria" w:cs="Sylfaen"/>
        </w:rPr>
        <w:t xml:space="preserve">; </w:t>
      </w:r>
      <w:r w:rsidRPr="0042384C">
        <w:rPr>
          <w:rFonts w:ascii="Sylfaen" w:hAnsi="Sylfaen" w:cs="Sylfaen"/>
        </w:rPr>
        <w:t>ანტიკორუფციულმა</w:t>
      </w:r>
      <w:r w:rsidRPr="0042384C">
        <w:rPr>
          <w:rFonts w:ascii="Cambria" w:hAnsi="Cambria"/>
        </w:rPr>
        <w:t xml:space="preserve"> </w:t>
      </w:r>
      <w:r w:rsidRPr="0042384C">
        <w:rPr>
          <w:rFonts w:ascii="Sylfaen" w:hAnsi="Sylfaen" w:cs="Sylfaen"/>
        </w:rPr>
        <w:t>ბიურომ</w:t>
      </w:r>
      <w:r w:rsidRPr="0042384C">
        <w:rPr>
          <w:rFonts w:ascii="Cambria" w:hAnsi="Cambria"/>
        </w:rPr>
        <w:t xml:space="preserve">, </w:t>
      </w:r>
      <w:r w:rsidRPr="0042384C">
        <w:rPr>
          <w:rFonts w:ascii="Sylfaen" w:hAnsi="Sylfaen" w:cs="Sylfaen"/>
        </w:rPr>
        <w:t>როგორც</w:t>
      </w:r>
      <w:r w:rsidRPr="0042384C">
        <w:rPr>
          <w:rFonts w:ascii="Cambria" w:hAnsi="Cambria"/>
        </w:rPr>
        <w:t xml:space="preserve"> </w:t>
      </w:r>
      <w:r w:rsidRPr="0042384C">
        <w:rPr>
          <w:rFonts w:ascii="Sylfaen" w:hAnsi="Sylfaen" w:cs="Sylfaen"/>
        </w:rPr>
        <w:t>ეროვნულმა</w:t>
      </w:r>
      <w:r w:rsidRPr="0042384C">
        <w:rPr>
          <w:rFonts w:ascii="Cambria" w:hAnsi="Cambria"/>
        </w:rPr>
        <w:t xml:space="preserve"> </w:t>
      </w:r>
      <w:r w:rsidRPr="0042384C">
        <w:rPr>
          <w:rFonts w:ascii="Sylfaen" w:hAnsi="Sylfaen" w:cs="Sylfaen"/>
        </w:rPr>
        <w:t>კოორდინატორმა</w:t>
      </w:r>
      <w:r w:rsidRPr="0042384C">
        <w:rPr>
          <w:rFonts w:ascii="Cambria" w:hAnsi="Cambria"/>
        </w:rPr>
        <w:t xml:space="preserve">, 2023 </w:t>
      </w:r>
      <w:r w:rsidRPr="0042384C">
        <w:rPr>
          <w:rFonts w:ascii="Sylfaen" w:hAnsi="Sylfaen" w:cs="Sylfaen"/>
        </w:rPr>
        <w:t>წლის</w:t>
      </w:r>
      <w:r w:rsidRPr="0042384C">
        <w:rPr>
          <w:rFonts w:ascii="Cambria" w:hAnsi="Cambria"/>
        </w:rPr>
        <w:t xml:space="preserve"> </w:t>
      </w:r>
      <w:r w:rsidRPr="0042384C">
        <w:rPr>
          <w:rFonts w:ascii="Sylfaen" w:hAnsi="Sylfaen" w:cs="Sylfaen"/>
        </w:rPr>
        <w:t>ივნისში</w:t>
      </w:r>
      <w:r w:rsidRPr="0042384C">
        <w:rPr>
          <w:rFonts w:ascii="Cambria" w:hAnsi="Cambria"/>
        </w:rPr>
        <w:t xml:space="preserve"> </w:t>
      </w:r>
      <w:r w:rsidRPr="0042384C">
        <w:rPr>
          <w:rFonts w:ascii="Sylfaen" w:hAnsi="Sylfaen" w:cs="Sylfaen"/>
        </w:rPr>
        <w:t>უმასპინძლა</w:t>
      </w:r>
      <w:r w:rsidRPr="0042384C">
        <w:rPr>
          <w:rFonts w:ascii="Cambria" w:hAnsi="Cambria"/>
        </w:rPr>
        <w:t xml:space="preserve"> GRECO-</w:t>
      </w:r>
      <w:r w:rsidRPr="0042384C">
        <w:rPr>
          <w:rFonts w:ascii="Sylfaen" w:hAnsi="Sylfaen" w:cs="Sylfaen"/>
        </w:rPr>
        <w:t>ს</w:t>
      </w:r>
      <w:r w:rsidRPr="0042384C">
        <w:rPr>
          <w:rFonts w:ascii="Cambria" w:hAnsi="Cambria"/>
        </w:rPr>
        <w:t xml:space="preserve"> </w:t>
      </w:r>
      <w:r w:rsidRPr="0042384C">
        <w:rPr>
          <w:rFonts w:ascii="Sylfaen" w:hAnsi="Sylfaen" w:cs="Sylfaen"/>
        </w:rPr>
        <w:t>შემფასებელი</w:t>
      </w:r>
      <w:r w:rsidRPr="0042384C">
        <w:rPr>
          <w:rFonts w:ascii="Cambria" w:hAnsi="Cambria"/>
        </w:rPr>
        <w:t xml:space="preserve"> </w:t>
      </w:r>
      <w:r w:rsidRPr="0042384C">
        <w:rPr>
          <w:rFonts w:ascii="Sylfaen" w:hAnsi="Sylfaen" w:cs="Sylfaen"/>
        </w:rPr>
        <w:t>ექსპერტების</w:t>
      </w:r>
      <w:r w:rsidRPr="0042384C">
        <w:rPr>
          <w:rFonts w:ascii="Cambria" w:hAnsi="Cambria"/>
        </w:rPr>
        <w:t xml:space="preserve"> </w:t>
      </w:r>
      <w:r w:rsidRPr="0042384C">
        <w:rPr>
          <w:rFonts w:ascii="Sylfaen" w:hAnsi="Sylfaen" w:cs="Sylfaen"/>
        </w:rPr>
        <w:t>ვიზიტს</w:t>
      </w:r>
      <w:r w:rsidRPr="0042384C">
        <w:rPr>
          <w:rFonts w:ascii="Cambria" w:hAnsi="Cambria"/>
        </w:rPr>
        <w:t xml:space="preserve"> </w:t>
      </w:r>
      <w:r w:rsidRPr="0042384C">
        <w:rPr>
          <w:rFonts w:ascii="Sylfaen" w:hAnsi="Sylfaen" w:cs="Sylfaen"/>
        </w:rPr>
        <w:t>საქართველოში</w:t>
      </w:r>
      <w:r w:rsidRPr="0042384C">
        <w:rPr>
          <w:rFonts w:ascii="Cambria" w:hAnsi="Cambria"/>
        </w:rPr>
        <w:t xml:space="preserve">. </w:t>
      </w:r>
      <w:r w:rsidRPr="0042384C">
        <w:rPr>
          <w:rFonts w:ascii="Sylfaen" w:hAnsi="Sylfaen" w:cs="Sylfaen"/>
        </w:rPr>
        <w:t>კოორდინირებული</w:t>
      </w:r>
      <w:r w:rsidRPr="0042384C">
        <w:rPr>
          <w:rFonts w:ascii="Cambria" w:hAnsi="Cambria"/>
        </w:rPr>
        <w:t xml:space="preserve"> </w:t>
      </w:r>
      <w:r w:rsidRPr="0042384C">
        <w:rPr>
          <w:rFonts w:ascii="Sylfaen" w:hAnsi="Sylfaen" w:cs="Sylfaen"/>
        </w:rPr>
        <w:t>მუშაობის</w:t>
      </w:r>
      <w:r w:rsidRPr="0042384C">
        <w:rPr>
          <w:rFonts w:ascii="Cambria" w:hAnsi="Cambria"/>
        </w:rPr>
        <w:t xml:space="preserve"> </w:t>
      </w:r>
      <w:r w:rsidRPr="0042384C">
        <w:rPr>
          <w:rFonts w:ascii="Sylfaen" w:hAnsi="Sylfaen" w:cs="Sylfaen"/>
        </w:rPr>
        <w:t>შედეგად</w:t>
      </w:r>
      <w:r w:rsidRPr="0042384C">
        <w:rPr>
          <w:rFonts w:ascii="Cambria" w:hAnsi="Cambria"/>
        </w:rPr>
        <w:t xml:space="preserve">, 2024 </w:t>
      </w:r>
      <w:r w:rsidRPr="0042384C">
        <w:rPr>
          <w:rFonts w:ascii="Sylfaen" w:hAnsi="Sylfaen" w:cs="Sylfaen"/>
        </w:rPr>
        <w:t>წლის</w:t>
      </w:r>
      <w:r w:rsidRPr="0042384C">
        <w:rPr>
          <w:rFonts w:ascii="Cambria" w:hAnsi="Cambria"/>
        </w:rPr>
        <w:t xml:space="preserve"> </w:t>
      </w:r>
      <w:r w:rsidRPr="0042384C">
        <w:rPr>
          <w:rFonts w:ascii="Sylfaen" w:hAnsi="Sylfaen" w:cs="Sylfaen"/>
        </w:rPr>
        <w:t>მარტში</w:t>
      </w:r>
      <w:r w:rsidRPr="0042384C">
        <w:rPr>
          <w:rFonts w:ascii="Cambria" w:hAnsi="Cambria"/>
        </w:rPr>
        <w:t xml:space="preserve">, </w:t>
      </w:r>
      <w:r w:rsidRPr="0042384C">
        <w:rPr>
          <w:rFonts w:ascii="Sylfaen" w:hAnsi="Sylfaen" w:cs="Sylfaen"/>
        </w:rPr>
        <w:t>ქ</w:t>
      </w:r>
      <w:r w:rsidRPr="0042384C">
        <w:rPr>
          <w:rFonts w:ascii="Cambria" w:hAnsi="Cambria"/>
        </w:rPr>
        <w:t xml:space="preserve">. </w:t>
      </w:r>
      <w:r w:rsidRPr="0042384C">
        <w:rPr>
          <w:rFonts w:ascii="Sylfaen" w:hAnsi="Sylfaen" w:cs="Sylfaen"/>
        </w:rPr>
        <w:t>სტარსბურგში</w:t>
      </w:r>
      <w:r w:rsidRPr="0042384C">
        <w:rPr>
          <w:rFonts w:ascii="Cambria" w:hAnsi="Cambria"/>
        </w:rPr>
        <w:t xml:space="preserve">, </w:t>
      </w:r>
      <w:r w:rsidRPr="0042384C">
        <w:rPr>
          <w:rFonts w:ascii="Sylfaen" w:hAnsi="Sylfaen" w:cs="Sylfaen"/>
        </w:rPr>
        <w:t>დამტკიცდა</w:t>
      </w:r>
      <w:r w:rsidRPr="0042384C">
        <w:rPr>
          <w:rFonts w:ascii="Cambria" w:hAnsi="Cambria"/>
        </w:rPr>
        <w:t xml:space="preserve"> </w:t>
      </w:r>
      <w:r w:rsidRPr="0042384C">
        <w:rPr>
          <w:rFonts w:ascii="Sylfaen" w:hAnsi="Sylfaen" w:cs="Sylfaen"/>
        </w:rPr>
        <w:t>შეფასების</w:t>
      </w:r>
      <w:r w:rsidRPr="0042384C">
        <w:rPr>
          <w:rFonts w:ascii="Cambria" w:hAnsi="Cambria"/>
        </w:rPr>
        <w:t xml:space="preserve"> </w:t>
      </w:r>
      <w:r w:rsidRPr="0042384C">
        <w:rPr>
          <w:rFonts w:ascii="Sylfaen" w:hAnsi="Sylfaen" w:cs="Sylfaen"/>
        </w:rPr>
        <w:t>მე</w:t>
      </w:r>
      <w:r w:rsidRPr="0042384C">
        <w:rPr>
          <w:rFonts w:ascii="Cambria" w:hAnsi="Cambria"/>
        </w:rPr>
        <w:t xml:space="preserve">-5 </w:t>
      </w:r>
      <w:r w:rsidRPr="0042384C">
        <w:rPr>
          <w:rFonts w:ascii="Sylfaen" w:hAnsi="Sylfaen" w:cs="Sylfaen"/>
        </w:rPr>
        <w:t>რაუნდისა</w:t>
      </w:r>
      <w:r w:rsidRPr="0042384C">
        <w:rPr>
          <w:rFonts w:ascii="Cambria" w:hAnsi="Cambria"/>
        </w:rPr>
        <w:t xml:space="preserve"> </w:t>
      </w:r>
      <w:r w:rsidRPr="0042384C">
        <w:rPr>
          <w:rFonts w:ascii="Sylfaen" w:hAnsi="Sylfaen" w:cs="Sylfaen"/>
        </w:rPr>
        <w:t>და</w:t>
      </w:r>
      <w:r w:rsidRPr="0042384C">
        <w:rPr>
          <w:rFonts w:ascii="Cambria" w:hAnsi="Cambria"/>
        </w:rPr>
        <w:t xml:space="preserve"> </w:t>
      </w:r>
      <w:r w:rsidRPr="0042384C">
        <w:rPr>
          <w:rFonts w:ascii="Sylfaen" w:hAnsi="Sylfaen" w:cs="Sylfaen"/>
        </w:rPr>
        <w:t>მე</w:t>
      </w:r>
      <w:r w:rsidRPr="0042384C">
        <w:rPr>
          <w:rFonts w:ascii="Cambria" w:hAnsi="Cambria"/>
        </w:rPr>
        <w:t xml:space="preserve">-4 </w:t>
      </w:r>
      <w:r w:rsidRPr="0042384C">
        <w:rPr>
          <w:rFonts w:ascii="Sylfaen" w:hAnsi="Sylfaen" w:cs="Sylfaen"/>
        </w:rPr>
        <w:t>რაუნდის</w:t>
      </w:r>
      <w:r w:rsidRPr="0042384C">
        <w:rPr>
          <w:rFonts w:ascii="Cambria" w:hAnsi="Cambria"/>
        </w:rPr>
        <w:t xml:space="preserve"> </w:t>
      </w:r>
      <w:r w:rsidRPr="0042384C">
        <w:rPr>
          <w:rFonts w:ascii="Sylfaen" w:hAnsi="Sylfaen" w:cs="Sylfaen"/>
        </w:rPr>
        <w:t>მე</w:t>
      </w:r>
      <w:r w:rsidRPr="0042384C">
        <w:rPr>
          <w:rFonts w:ascii="Cambria" w:hAnsi="Cambria"/>
        </w:rPr>
        <w:t xml:space="preserve">-2 </w:t>
      </w:r>
      <w:r w:rsidRPr="0042384C">
        <w:rPr>
          <w:rFonts w:ascii="Sylfaen" w:hAnsi="Sylfaen" w:cs="Sylfaen"/>
        </w:rPr>
        <w:t>შესაბამისობის</w:t>
      </w:r>
      <w:r w:rsidRPr="0042384C">
        <w:rPr>
          <w:rFonts w:ascii="Cambria" w:hAnsi="Cambria"/>
        </w:rPr>
        <w:t xml:space="preserve"> </w:t>
      </w:r>
      <w:r w:rsidRPr="0042384C">
        <w:rPr>
          <w:rFonts w:ascii="Sylfaen" w:hAnsi="Sylfaen" w:cs="Sylfaen"/>
        </w:rPr>
        <w:t>ანგარიშები</w:t>
      </w:r>
      <w:r w:rsidRPr="0042384C">
        <w:rPr>
          <w:rFonts w:ascii="Cambria" w:hAnsi="Cambria"/>
        </w:rPr>
        <w:t xml:space="preserve">. </w:t>
      </w:r>
      <w:r w:rsidRPr="0042384C">
        <w:rPr>
          <w:rFonts w:ascii="Sylfaen" w:hAnsi="Sylfaen" w:cs="Sylfaen"/>
        </w:rPr>
        <w:t>ამასთან</w:t>
      </w:r>
      <w:r w:rsidRPr="0042384C">
        <w:rPr>
          <w:rFonts w:ascii="Cambria" w:hAnsi="Cambria"/>
        </w:rPr>
        <w:t xml:space="preserve">, </w:t>
      </w:r>
      <w:r w:rsidRPr="0042384C">
        <w:rPr>
          <w:rFonts w:ascii="Sylfaen" w:hAnsi="Sylfaen" w:cs="Sylfaen"/>
        </w:rPr>
        <w:t>მე</w:t>
      </w:r>
      <w:r w:rsidRPr="0042384C">
        <w:rPr>
          <w:rFonts w:ascii="Cambria" w:hAnsi="Cambria"/>
        </w:rPr>
        <w:t xml:space="preserve">-4 </w:t>
      </w:r>
      <w:r w:rsidRPr="0042384C">
        <w:rPr>
          <w:rFonts w:ascii="Sylfaen" w:hAnsi="Sylfaen" w:cs="Sylfaen"/>
        </w:rPr>
        <w:t>რაუნდის</w:t>
      </w:r>
      <w:r w:rsidRPr="0042384C">
        <w:rPr>
          <w:rFonts w:ascii="Cambria" w:hAnsi="Cambria"/>
        </w:rPr>
        <w:t xml:space="preserve"> </w:t>
      </w:r>
      <w:r w:rsidRPr="0042384C">
        <w:rPr>
          <w:rFonts w:ascii="Sylfaen" w:hAnsi="Sylfaen" w:cs="Sylfaen"/>
        </w:rPr>
        <w:t>ფარგლებში</w:t>
      </w:r>
      <w:r w:rsidRPr="0042384C">
        <w:rPr>
          <w:rFonts w:ascii="Cambria" w:hAnsi="Cambria"/>
        </w:rPr>
        <w:t xml:space="preserve"> </w:t>
      </w:r>
      <w:r w:rsidRPr="0042384C">
        <w:rPr>
          <w:rFonts w:ascii="Sylfaen" w:hAnsi="Sylfaen" w:cs="Sylfaen"/>
        </w:rPr>
        <w:t>გაცემული</w:t>
      </w:r>
      <w:r w:rsidRPr="0042384C">
        <w:rPr>
          <w:rFonts w:ascii="Cambria" w:hAnsi="Cambria"/>
        </w:rPr>
        <w:t xml:space="preserve"> 16 </w:t>
      </w:r>
      <w:r w:rsidRPr="0042384C">
        <w:rPr>
          <w:rFonts w:ascii="Sylfaen" w:hAnsi="Sylfaen" w:cs="Sylfaen"/>
        </w:rPr>
        <w:t>რეკომენდაციიდან</w:t>
      </w:r>
      <w:r w:rsidRPr="0042384C">
        <w:rPr>
          <w:rFonts w:ascii="Cambria" w:hAnsi="Cambria"/>
        </w:rPr>
        <w:t xml:space="preserve"> </w:t>
      </w:r>
      <w:r w:rsidRPr="0042384C">
        <w:rPr>
          <w:rFonts w:ascii="Sylfaen" w:hAnsi="Sylfaen" w:cs="Sylfaen"/>
        </w:rPr>
        <w:t>ქვეყანას</w:t>
      </w:r>
      <w:r w:rsidRPr="0042384C">
        <w:rPr>
          <w:rFonts w:ascii="Cambria" w:hAnsi="Cambria"/>
        </w:rPr>
        <w:t xml:space="preserve"> </w:t>
      </w:r>
      <w:r w:rsidRPr="0042384C">
        <w:rPr>
          <w:rFonts w:ascii="Sylfaen" w:hAnsi="Sylfaen" w:cs="Sylfaen"/>
        </w:rPr>
        <w:t>მხოლოდ</w:t>
      </w:r>
      <w:r w:rsidRPr="0042384C">
        <w:rPr>
          <w:rFonts w:ascii="Cambria" w:hAnsi="Cambria"/>
        </w:rPr>
        <w:t xml:space="preserve"> 1 </w:t>
      </w:r>
      <w:r w:rsidRPr="0042384C">
        <w:rPr>
          <w:rFonts w:ascii="Sylfaen" w:hAnsi="Sylfaen" w:cs="Sylfaen"/>
        </w:rPr>
        <w:t>რეკომენდაცია</w:t>
      </w:r>
      <w:r w:rsidRPr="0042384C">
        <w:rPr>
          <w:rFonts w:ascii="Cambria" w:hAnsi="Cambria"/>
        </w:rPr>
        <w:t xml:space="preserve"> </w:t>
      </w:r>
      <w:r w:rsidRPr="0042384C">
        <w:rPr>
          <w:rFonts w:ascii="Sylfaen" w:hAnsi="Sylfaen" w:cs="Sylfaen"/>
        </w:rPr>
        <w:t>დარჩა</w:t>
      </w:r>
      <w:r w:rsidRPr="0042384C">
        <w:rPr>
          <w:rFonts w:ascii="Cambria" w:hAnsi="Cambria"/>
        </w:rPr>
        <w:t xml:space="preserve"> </w:t>
      </w:r>
      <w:r w:rsidRPr="0042384C">
        <w:rPr>
          <w:rFonts w:ascii="Sylfaen" w:hAnsi="Sylfaen" w:cs="Sylfaen"/>
        </w:rPr>
        <w:t>შეუსრულებელი</w:t>
      </w:r>
      <w:r w:rsidRPr="0042384C">
        <w:rPr>
          <w:rFonts w:ascii="Cambria" w:hAnsi="Cambria"/>
        </w:rPr>
        <w:t>.</w:t>
      </w:r>
    </w:p>
    <w:p w14:paraId="753C0EE7" w14:textId="6336B0A7" w:rsidR="00796B60" w:rsidRPr="001922B9" w:rsidRDefault="001679EF" w:rsidP="001922B9">
      <w:pPr>
        <w:ind w:firstLine="360"/>
        <w:jc w:val="both"/>
        <w:rPr>
          <w:rFonts w:asciiTheme="majorHAnsi" w:hAnsiTheme="majorHAnsi" w:cs="Calibri"/>
        </w:rPr>
      </w:pPr>
      <w:r w:rsidRPr="0042384C">
        <w:rPr>
          <w:rFonts w:asciiTheme="majorHAnsi" w:hAnsiTheme="majorHAnsi" w:cs="Calibri"/>
        </w:rPr>
        <w:t>ზემოთ ხსენებული  გარემოებები კორუფციის შედარებით დაბალ დონეზე და გამჭირვალობის მაღალ ხარისხზე მიუთითებს.</w:t>
      </w:r>
    </w:p>
    <w:p w14:paraId="6E75CD59" w14:textId="77777777" w:rsidR="00B50BBE" w:rsidRPr="0042384C" w:rsidRDefault="00B50BBE" w:rsidP="00B50BBE">
      <w:pPr>
        <w:ind w:firstLine="360"/>
        <w:jc w:val="both"/>
        <w:rPr>
          <w:rFonts w:asciiTheme="majorHAnsi" w:hAnsiTheme="majorHAnsi" w:cs="Calibri"/>
        </w:rPr>
      </w:pPr>
    </w:p>
    <w:p w14:paraId="6546EBF8" w14:textId="77777777" w:rsidR="009E1C05" w:rsidRPr="0042384C" w:rsidRDefault="009E1C05" w:rsidP="00582105">
      <w:pPr>
        <w:jc w:val="center"/>
        <w:rPr>
          <w:rFonts w:asciiTheme="majorHAnsi" w:hAnsiTheme="majorHAnsi" w:cs="Calibri"/>
          <w:b/>
        </w:rPr>
      </w:pPr>
    </w:p>
    <w:p w14:paraId="3853C917" w14:textId="64D1F23D" w:rsidR="00582105" w:rsidRPr="0042384C" w:rsidRDefault="00582105" w:rsidP="00582105">
      <w:pPr>
        <w:jc w:val="center"/>
        <w:rPr>
          <w:rFonts w:asciiTheme="majorHAnsi" w:hAnsiTheme="majorHAnsi" w:cs="Calibri"/>
          <w:b/>
        </w:rPr>
      </w:pPr>
      <w:r w:rsidRPr="0042384C">
        <w:rPr>
          <w:rFonts w:asciiTheme="majorHAnsi" w:hAnsiTheme="majorHAnsi" w:cs="Calibri"/>
          <w:b/>
        </w:rPr>
        <w:t>სექტორული რისკების შეფასება</w:t>
      </w:r>
    </w:p>
    <w:p w14:paraId="015657A4" w14:textId="77777777" w:rsidR="00582105" w:rsidRPr="0042384C" w:rsidRDefault="00582105" w:rsidP="003A7EAA">
      <w:pPr>
        <w:rPr>
          <w:rFonts w:asciiTheme="majorHAnsi" w:hAnsiTheme="majorHAnsi" w:cs="Calibri"/>
        </w:rPr>
      </w:pPr>
    </w:p>
    <w:p w14:paraId="686CF1B6" w14:textId="77777777" w:rsidR="00B720E8" w:rsidRPr="0042384C" w:rsidRDefault="00B720E8" w:rsidP="00582105">
      <w:pPr>
        <w:ind w:firstLine="360"/>
        <w:rPr>
          <w:rFonts w:asciiTheme="majorHAnsi" w:hAnsiTheme="majorHAnsi" w:cs="Calibri"/>
          <w:b/>
        </w:rPr>
      </w:pPr>
    </w:p>
    <w:p w14:paraId="2C24DE7B" w14:textId="070A5A36" w:rsidR="003A7EAA" w:rsidRPr="0042384C" w:rsidRDefault="003A7EAA" w:rsidP="003F7CDA">
      <w:pPr>
        <w:ind w:firstLine="360"/>
        <w:rPr>
          <w:rFonts w:asciiTheme="majorHAnsi" w:hAnsiTheme="majorHAnsi" w:cs="Calibri"/>
          <w:b/>
        </w:rPr>
      </w:pPr>
      <w:r w:rsidRPr="0042384C">
        <w:rPr>
          <w:rFonts w:asciiTheme="majorHAnsi" w:hAnsiTheme="majorHAnsi" w:cs="Calibri"/>
          <w:b/>
        </w:rPr>
        <w:t>1. თავისუფალი ინდუსტრიული ზონები</w:t>
      </w:r>
    </w:p>
    <w:p w14:paraId="1A519B86" w14:textId="4423DE98" w:rsidR="003A7EAA" w:rsidRPr="0042384C" w:rsidRDefault="003A7EAA" w:rsidP="003F7CDA">
      <w:pPr>
        <w:ind w:firstLine="360"/>
        <w:jc w:val="both"/>
        <w:rPr>
          <w:rFonts w:asciiTheme="majorHAnsi" w:hAnsiTheme="majorHAnsi" w:cs="Calibri"/>
        </w:rPr>
      </w:pPr>
      <w:r w:rsidRPr="0042384C">
        <w:rPr>
          <w:rFonts w:asciiTheme="majorHAnsi" w:hAnsiTheme="majorHAnsi" w:cs="Calibri"/>
        </w:rPr>
        <w:t>1.1</w:t>
      </w:r>
      <w:r w:rsidR="001922B9">
        <w:rPr>
          <w:rFonts w:asciiTheme="majorHAnsi" w:hAnsiTheme="majorHAnsi" w:cs="Calibri"/>
        </w:rPr>
        <w:t>.</w:t>
      </w:r>
      <w:r w:rsidRPr="0042384C">
        <w:rPr>
          <w:rFonts w:asciiTheme="majorHAnsi" w:hAnsiTheme="majorHAnsi" w:cs="Calibri"/>
        </w:rPr>
        <w:t xml:space="preserve"> ძირითადი მიგნებები</w:t>
      </w:r>
    </w:p>
    <w:p w14:paraId="61781359" w14:textId="3D3433C9" w:rsidR="003A7EAA" w:rsidRPr="0042384C" w:rsidRDefault="00180EEB" w:rsidP="003F7CDA">
      <w:pPr>
        <w:ind w:firstLine="360"/>
        <w:jc w:val="both"/>
        <w:rPr>
          <w:rFonts w:asciiTheme="majorHAnsi" w:hAnsiTheme="majorHAnsi" w:cs="Calibri"/>
          <w:color w:val="00B050"/>
        </w:rPr>
      </w:pPr>
      <w:r w:rsidRPr="0042384C">
        <w:rPr>
          <w:rFonts w:asciiTheme="majorHAnsi" w:hAnsiTheme="majorHAnsi" w:cs="Calibri"/>
        </w:rPr>
        <w:t xml:space="preserve">თავისუფალ ინდუსტრიულ ზონებში (შემდგომ </w:t>
      </w:r>
      <w:r w:rsidR="001922B9">
        <w:rPr>
          <w:rFonts w:asciiTheme="majorHAnsi" w:hAnsiTheme="majorHAnsi" w:cs="Calibri"/>
        </w:rPr>
        <w:t>−</w:t>
      </w:r>
      <w:r w:rsidRPr="0042384C">
        <w:rPr>
          <w:rFonts w:asciiTheme="majorHAnsi" w:hAnsiTheme="majorHAnsi" w:cs="Calibri"/>
        </w:rPr>
        <w:t xml:space="preserve"> „</w:t>
      </w:r>
      <w:r w:rsidR="003A7EAA" w:rsidRPr="0042384C">
        <w:rPr>
          <w:rFonts w:asciiTheme="majorHAnsi" w:hAnsiTheme="majorHAnsi" w:cs="Calibri"/>
        </w:rPr>
        <w:t>თიზ</w:t>
      </w:r>
      <w:r w:rsidRPr="0042384C">
        <w:rPr>
          <w:rFonts w:asciiTheme="majorHAnsi" w:hAnsiTheme="majorHAnsi" w:cs="Calibri"/>
        </w:rPr>
        <w:t>“)</w:t>
      </w:r>
      <w:r w:rsidR="003A7EAA" w:rsidRPr="0042384C">
        <w:rPr>
          <w:rFonts w:asciiTheme="majorHAnsi" w:hAnsiTheme="majorHAnsi" w:cs="Calibri"/>
        </w:rPr>
        <w:t xml:space="preserve"> მოქმედ საწარმოებთან დაკავშირებული თანდაყოლილი რისკები </w:t>
      </w:r>
      <w:r w:rsidR="009F4FA5" w:rsidRPr="0042384C">
        <w:rPr>
          <w:rFonts w:asciiTheme="majorHAnsi" w:hAnsiTheme="majorHAnsi" w:cs="Calibri"/>
        </w:rPr>
        <w:t>დიდად</w:t>
      </w:r>
      <w:r w:rsidR="003A7EAA" w:rsidRPr="0042384C">
        <w:rPr>
          <w:rFonts w:asciiTheme="majorHAnsi" w:hAnsiTheme="majorHAnsi" w:cs="Calibri"/>
        </w:rPr>
        <w:t xml:space="preserve"> არ განსხვავდება საქართველოში რეგისტრირებულ სხვა კომპანიებთან შედარებით. თუმცა, რისკებს ამცირებს საქართველოს ფინანსთა სამინისტროს </w:t>
      </w:r>
      <w:r w:rsidR="009F4FA5" w:rsidRPr="0042384C">
        <w:rPr>
          <w:rFonts w:asciiTheme="majorHAnsi" w:hAnsiTheme="majorHAnsi" w:cs="Calibri"/>
        </w:rPr>
        <w:t xml:space="preserve">შემოსავლების სამსახურის (შემდგომ </w:t>
      </w:r>
      <w:r w:rsidR="001922B9">
        <w:rPr>
          <w:rFonts w:asciiTheme="majorHAnsi" w:hAnsiTheme="majorHAnsi" w:cs="Calibri"/>
        </w:rPr>
        <w:t>−</w:t>
      </w:r>
      <w:r w:rsidR="009F4FA5" w:rsidRPr="0042384C">
        <w:rPr>
          <w:rFonts w:asciiTheme="majorHAnsi" w:hAnsiTheme="majorHAnsi" w:cs="Calibri"/>
        </w:rPr>
        <w:t xml:space="preserve"> „შემოსავლების სამსახური“) </w:t>
      </w:r>
      <w:r w:rsidR="003A7EAA" w:rsidRPr="0042384C">
        <w:rPr>
          <w:rFonts w:asciiTheme="majorHAnsi" w:hAnsiTheme="majorHAnsi" w:cs="Calibri"/>
        </w:rPr>
        <w:t xml:space="preserve">მიერ დაწესებული შეზღუდვები და საფინანსო სექტორის გაძლიერებული პრევენციული ღონისძიებები. </w:t>
      </w:r>
      <w:r w:rsidR="009F4FA5" w:rsidRPr="0042384C">
        <w:rPr>
          <w:rFonts w:asciiTheme="majorHAnsi" w:hAnsiTheme="majorHAnsi" w:cs="Calibri"/>
        </w:rPr>
        <w:t>გარდა ამისა</w:t>
      </w:r>
      <w:r w:rsidR="003A7EAA" w:rsidRPr="0042384C">
        <w:rPr>
          <w:rFonts w:asciiTheme="majorHAnsi" w:hAnsiTheme="majorHAnsi" w:cs="Calibri"/>
        </w:rPr>
        <w:t xml:space="preserve">, თიზ-ებში მოქმედი საწარმოების ბრუნვა საკმაოდ მცირეა და საქართველოს ფინანსური მონიტორინგის სამსახურის და გამოძიების ორგანოების პრაქტიკა აჩვენებს, რომ ასეთი საწარმოების გამოყენება ფულის გათეთრების და ტერორიზმის დაფინანსების სქემებში </w:t>
      </w:r>
      <w:r w:rsidR="0072344B" w:rsidRPr="0042384C">
        <w:rPr>
          <w:rFonts w:asciiTheme="majorHAnsi" w:hAnsiTheme="majorHAnsi" w:cs="Calibri"/>
        </w:rPr>
        <w:t xml:space="preserve">მასშტაბურად 2020 – 2022 </w:t>
      </w:r>
      <w:r w:rsidR="003A7EAA" w:rsidRPr="0042384C">
        <w:rPr>
          <w:rFonts w:asciiTheme="majorHAnsi" w:hAnsiTheme="majorHAnsi" w:cs="Calibri"/>
        </w:rPr>
        <w:t>წლებში არ მომხდარა</w:t>
      </w:r>
      <w:r w:rsidR="0072344B" w:rsidRPr="0042384C">
        <w:rPr>
          <w:rFonts w:asciiTheme="majorHAnsi" w:hAnsiTheme="majorHAnsi" w:cs="Calibri"/>
        </w:rPr>
        <w:t xml:space="preserve"> </w:t>
      </w:r>
      <w:r w:rsidR="001922B9">
        <w:rPr>
          <w:rFonts w:asciiTheme="majorHAnsi" w:hAnsiTheme="majorHAnsi" w:cs="Calibri"/>
        </w:rPr>
        <w:t>−</w:t>
      </w:r>
      <w:r w:rsidR="0072344B" w:rsidRPr="0042384C">
        <w:rPr>
          <w:rFonts w:asciiTheme="majorHAnsi" w:hAnsiTheme="majorHAnsi" w:cs="Calibri"/>
        </w:rPr>
        <w:t xml:space="preserve"> ფინანსური მონიტორინგის სამსახურში უცხოელი კოლეგებისაგან შემოსულ </w:t>
      </w:r>
      <w:r w:rsidR="0072344B" w:rsidRPr="0042384C">
        <w:rPr>
          <w:rFonts w:asciiTheme="majorHAnsi" w:hAnsiTheme="majorHAnsi" w:cs="Calibri"/>
        </w:rPr>
        <w:lastRenderedPageBreak/>
        <w:t xml:space="preserve">არცერთ შეკითხვაში ასეთი საწარმო არ დაფიქსირებულა, </w:t>
      </w:r>
      <w:r w:rsidR="001679EF" w:rsidRPr="0042384C">
        <w:rPr>
          <w:rFonts w:asciiTheme="majorHAnsi" w:hAnsiTheme="majorHAnsi" w:cs="Calibri"/>
        </w:rPr>
        <w:t xml:space="preserve">საქართველოს </w:t>
      </w:r>
      <w:r w:rsidR="0072344B" w:rsidRPr="0042384C">
        <w:rPr>
          <w:rFonts w:asciiTheme="majorHAnsi" w:hAnsiTheme="majorHAnsi" w:cs="Calibri"/>
        </w:rPr>
        <w:t>პროკურატურას ჰქონდა MLA</w:t>
      </w:r>
      <w:r w:rsidR="001922B9">
        <w:rPr>
          <w:rFonts w:asciiTheme="majorHAnsi" w:hAnsiTheme="majorHAnsi" w:cs="Calibri"/>
        </w:rPr>
        <w:t>-</w:t>
      </w:r>
      <w:r w:rsidR="0072344B" w:rsidRPr="0042384C">
        <w:rPr>
          <w:rFonts w:asciiTheme="majorHAnsi" w:hAnsiTheme="majorHAnsi" w:cs="Calibri"/>
        </w:rPr>
        <w:t>ით შემოსული მხოლოდ რამდენიმე ქეისი</w:t>
      </w:r>
      <w:r w:rsidR="001922B9">
        <w:rPr>
          <w:rFonts w:asciiTheme="majorHAnsi" w:hAnsiTheme="majorHAnsi" w:cs="Calibri"/>
        </w:rPr>
        <w:t>,</w:t>
      </w:r>
      <w:r w:rsidR="0072344B" w:rsidRPr="0042384C">
        <w:rPr>
          <w:rFonts w:asciiTheme="majorHAnsi" w:hAnsiTheme="majorHAnsi" w:cs="Calibri"/>
        </w:rPr>
        <w:t xml:space="preserve"> სადაც ასეთ ზონაში დაფიქსირებული საწარმო ფიგურირებდა.</w:t>
      </w:r>
    </w:p>
    <w:p w14:paraId="568B342B" w14:textId="77777777" w:rsidR="003A7EAA" w:rsidRPr="0042384C" w:rsidRDefault="003A7EAA" w:rsidP="003A7EAA">
      <w:pPr>
        <w:ind w:firstLine="360"/>
        <w:jc w:val="both"/>
        <w:rPr>
          <w:rFonts w:asciiTheme="majorHAnsi" w:hAnsiTheme="majorHAnsi" w:cs="Calibri"/>
        </w:rPr>
      </w:pPr>
      <w:r w:rsidRPr="0042384C">
        <w:rPr>
          <w:rFonts w:asciiTheme="majorHAnsi" w:hAnsiTheme="majorHAnsi" w:cs="Calibri"/>
        </w:rPr>
        <w:t>აქედან გამომდინარე, თიზ-ებში მოქმედ საწარმოებთან დაკავშირებული რისკები შეფასდა როგორც დაბალი. მიუხედავად ამისა, რისკების უკეთ</w:t>
      </w:r>
      <w:r w:rsidR="004818F6" w:rsidRPr="0042384C">
        <w:rPr>
          <w:rFonts w:asciiTheme="majorHAnsi" w:hAnsiTheme="majorHAnsi" w:cs="Calibri"/>
        </w:rPr>
        <w:t xml:space="preserve"> მართვის მიზნით, რეკომენდებულია</w:t>
      </w:r>
      <w:r w:rsidRPr="0042384C">
        <w:rPr>
          <w:rFonts w:asciiTheme="majorHAnsi" w:hAnsiTheme="majorHAnsi" w:cs="Calibri"/>
        </w:rPr>
        <w:t xml:space="preserve"> შემდეგი დამატებითი ზომების </w:t>
      </w:r>
      <w:r w:rsidR="004818F6" w:rsidRPr="0042384C">
        <w:rPr>
          <w:rFonts w:asciiTheme="majorHAnsi" w:hAnsiTheme="majorHAnsi" w:cs="Calibri"/>
        </w:rPr>
        <w:t>განხილვა</w:t>
      </w:r>
      <w:r w:rsidRPr="0042384C">
        <w:rPr>
          <w:rFonts w:asciiTheme="majorHAnsi" w:hAnsiTheme="majorHAnsi" w:cs="Calibri"/>
        </w:rPr>
        <w:t xml:space="preserve">: </w:t>
      </w:r>
    </w:p>
    <w:p w14:paraId="355D329C" w14:textId="77777777" w:rsidR="003A7EAA" w:rsidRPr="0042384C" w:rsidRDefault="003A7EAA" w:rsidP="003A7EAA">
      <w:pPr>
        <w:ind w:firstLine="360"/>
        <w:jc w:val="both"/>
        <w:rPr>
          <w:rFonts w:asciiTheme="majorHAnsi" w:hAnsiTheme="majorHAnsi" w:cs="Calibri"/>
        </w:rPr>
      </w:pPr>
    </w:p>
    <w:p w14:paraId="536B4E1B" w14:textId="76713679" w:rsidR="003A7EAA" w:rsidRPr="0042384C" w:rsidRDefault="003A7EAA" w:rsidP="003A7EAA">
      <w:pPr>
        <w:pStyle w:val="ListParagraph"/>
        <w:numPr>
          <w:ilvl w:val="0"/>
          <w:numId w:val="5"/>
        </w:numPr>
        <w:jc w:val="both"/>
        <w:rPr>
          <w:rFonts w:asciiTheme="majorHAnsi" w:hAnsiTheme="majorHAnsi" w:cs="Calibri"/>
        </w:rPr>
      </w:pPr>
      <w:r w:rsidRPr="0042384C">
        <w:rPr>
          <w:rFonts w:asciiTheme="majorHAnsi" w:hAnsiTheme="majorHAnsi" w:cs="Calibri"/>
        </w:rPr>
        <w:t>ზუსტი სტატისტიკის წარმოება თიზ-ებში მოქმედი საწარმოების ფიზ</w:t>
      </w:r>
      <w:r w:rsidR="001922B9">
        <w:rPr>
          <w:rFonts w:asciiTheme="majorHAnsi" w:hAnsiTheme="majorHAnsi" w:cs="Calibri"/>
        </w:rPr>
        <w:t>იკური ადგილმდებარეობის თაობაზე;</w:t>
      </w:r>
    </w:p>
    <w:p w14:paraId="56A04DEE" w14:textId="31EDECD8" w:rsidR="003A7EAA" w:rsidRPr="0042384C" w:rsidRDefault="003A7EAA" w:rsidP="003A7EAA">
      <w:pPr>
        <w:pStyle w:val="ListParagraph"/>
        <w:numPr>
          <w:ilvl w:val="0"/>
          <w:numId w:val="5"/>
        </w:numPr>
        <w:jc w:val="both"/>
        <w:rPr>
          <w:rFonts w:asciiTheme="majorHAnsi" w:hAnsiTheme="majorHAnsi" w:cs="Calibri"/>
        </w:rPr>
      </w:pPr>
      <w:r w:rsidRPr="0042384C">
        <w:rPr>
          <w:rFonts w:asciiTheme="majorHAnsi" w:hAnsiTheme="majorHAnsi" w:cs="Calibri"/>
        </w:rPr>
        <w:t>ინფორმაციის სისტემატური გაცვლა თიზ-ების ორგანიზატორ კომპანიებსა და შემოსავლების სამსახურს შორის თიზ-ების საწარმოების საქმიანობისა და ოპერაციების მონიტორინგ</w:t>
      </w:r>
      <w:r w:rsidR="001922B9">
        <w:rPr>
          <w:rFonts w:asciiTheme="majorHAnsi" w:hAnsiTheme="majorHAnsi" w:cs="Calibri"/>
        </w:rPr>
        <w:t>ის და ტრენდების ანალიზის მიზნით;</w:t>
      </w:r>
    </w:p>
    <w:p w14:paraId="5EDA816B" w14:textId="6D56DB2B" w:rsidR="003A7EAA" w:rsidRPr="0042384C" w:rsidRDefault="003A7EAA" w:rsidP="003A7EAA">
      <w:pPr>
        <w:pStyle w:val="ListParagraph"/>
        <w:numPr>
          <w:ilvl w:val="0"/>
          <w:numId w:val="5"/>
        </w:numPr>
        <w:jc w:val="both"/>
        <w:rPr>
          <w:rFonts w:asciiTheme="majorHAnsi" w:hAnsiTheme="majorHAnsi" w:cs="Calibri"/>
        </w:rPr>
      </w:pPr>
      <w:r w:rsidRPr="0042384C">
        <w:rPr>
          <w:rFonts w:asciiTheme="majorHAnsi" w:hAnsiTheme="majorHAnsi" w:cs="Calibri"/>
        </w:rPr>
        <w:t>თიზ-ების ორგანიზატორების მიერ ლიცენზიების გაცემის დროს სკრინინგის სისტემის დანერგვა, რომელიც უზრუნველყოფს საწარმოების დირექტორების და ბენეფიციარი მესაკუთრეების გადამოწმებას საერთაშორისო მონაცემთა ბაზებში ფულის გათეთრებისა და ტერორიზმის დაფი</w:t>
      </w:r>
      <w:r w:rsidR="001922B9">
        <w:rPr>
          <w:rFonts w:asciiTheme="majorHAnsi" w:hAnsiTheme="majorHAnsi" w:cs="Calibri"/>
        </w:rPr>
        <w:t>ნანსების რისკების გამოსავლენად;</w:t>
      </w:r>
    </w:p>
    <w:p w14:paraId="7FA3DD87" w14:textId="77777777" w:rsidR="003A7EAA" w:rsidRPr="0042384C" w:rsidRDefault="003A7EAA" w:rsidP="003A7EAA">
      <w:pPr>
        <w:pStyle w:val="ListParagraph"/>
        <w:numPr>
          <w:ilvl w:val="0"/>
          <w:numId w:val="5"/>
        </w:numPr>
        <w:jc w:val="both"/>
        <w:rPr>
          <w:rFonts w:asciiTheme="majorHAnsi" w:hAnsiTheme="majorHAnsi" w:cs="Calibri"/>
        </w:rPr>
      </w:pPr>
      <w:r w:rsidRPr="0042384C">
        <w:rPr>
          <w:rFonts w:asciiTheme="majorHAnsi" w:hAnsiTheme="majorHAnsi" w:cs="Calibri"/>
        </w:rPr>
        <w:t>ლიცენზიის გაცემაზე უარის ერთ-ერთ მიზეზად ფულის გათეთრების და ტერორიზმის დაფინასების მომეტებული რისკების განსაზღვრა.</w:t>
      </w:r>
    </w:p>
    <w:p w14:paraId="7A321141" w14:textId="3909BE90" w:rsidR="003A7EAA" w:rsidRPr="0042384C" w:rsidRDefault="003A7EAA" w:rsidP="003A7EAA">
      <w:pPr>
        <w:jc w:val="both"/>
        <w:rPr>
          <w:rFonts w:asciiTheme="majorHAnsi" w:hAnsiTheme="majorHAnsi" w:cs="Calibri"/>
          <w:b/>
        </w:rPr>
      </w:pPr>
    </w:p>
    <w:p w14:paraId="66F4E14B" w14:textId="3822F5E2" w:rsidR="003A7EAA" w:rsidRPr="0042384C" w:rsidRDefault="003A7EAA" w:rsidP="003F7CDA">
      <w:pPr>
        <w:ind w:firstLine="360"/>
        <w:jc w:val="both"/>
        <w:rPr>
          <w:rFonts w:asciiTheme="majorHAnsi" w:hAnsiTheme="majorHAnsi" w:cs="Calibri"/>
        </w:rPr>
      </w:pPr>
      <w:r w:rsidRPr="0042384C">
        <w:rPr>
          <w:rFonts w:asciiTheme="majorHAnsi" w:hAnsiTheme="majorHAnsi" w:cs="Calibri"/>
        </w:rPr>
        <w:t>1.2</w:t>
      </w:r>
      <w:r w:rsidR="001922B9">
        <w:rPr>
          <w:rFonts w:asciiTheme="majorHAnsi" w:hAnsiTheme="majorHAnsi" w:cs="Calibri"/>
        </w:rPr>
        <w:t>.</w:t>
      </w:r>
      <w:r w:rsidRPr="0042384C">
        <w:rPr>
          <w:rFonts w:asciiTheme="majorHAnsi" w:hAnsiTheme="majorHAnsi" w:cs="Calibri"/>
        </w:rPr>
        <w:t xml:space="preserve"> სექტორის მიმოხილვა</w:t>
      </w:r>
    </w:p>
    <w:p w14:paraId="5B73DD13" w14:textId="77777777" w:rsidR="003A7EAA" w:rsidRPr="0042384C" w:rsidRDefault="003A7EAA" w:rsidP="003A7EAA">
      <w:pPr>
        <w:ind w:firstLine="360"/>
        <w:jc w:val="both"/>
        <w:rPr>
          <w:rFonts w:asciiTheme="majorHAnsi" w:hAnsiTheme="majorHAnsi" w:cs="Calibri"/>
        </w:rPr>
      </w:pPr>
      <w:r w:rsidRPr="0042384C">
        <w:rPr>
          <w:rFonts w:asciiTheme="majorHAnsi" w:hAnsiTheme="majorHAnsi" w:cs="Calibri"/>
        </w:rPr>
        <w:t>თიზ</w:t>
      </w:r>
      <w:r w:rsidR="009F4FA5" w:rsidRPr="0042384C">
        <w:rPr>
          <w:rFonts w:asciiTheme="majorHAnsi" w:hAnsiTheme="majorHAnsi" w:cs="Calibri"/>
        </w:rPr>
        <w:t>-ებთან</w:t>
      </w:r>
      <w:r w:rsidRPr="0042384C">
        <w:rPr>
          <w:rFonts w:asciiTheme="majorHAnsi" w:hAnsiTheme="majorHAnsi" w:cs="Calibri"/>
        </w:rPr>
        <w:t xml:space="preserve"> მიმართებით, ქვემოთ მოცემული ანალიზის განსახორციელებლად, შესაბამისი სტატისტიკისა და სხვა ინფორმაციის </w:t>
      </w:r>
      <w:r w:rsidR="009F4FA5" w:rsidRPr="0042384C">
        <w:rPr>
          <w:rFonts w:asciiTheme="majorHAnsi" w:hAnsiTheme="majorHAnsi" w:cs="Calibri"/>
        </w:rPr>
        <w:t>გამოთხოვა</w:t>
      </w:r>
      <w:r w:rsidRPr="0042384C">
        <w:rPr>
          <w:rFonts w:asciiTheme="majorHAnsi" w:hAnsiTheme="majorHAnsi" w:cs="Calibri"/>
        </w:rPr>
        <w:t xml:space="preserve"> მოხდა შემდეგი სტრუქტურებიდან:</w:t>
      </w:r>
    </w:p>
    <w:p w14:paraId="06F51226" w14:textId="77777777" w:rsidR="003A7EAA" w:rsidRPr="0042384C" w:rsidRDefault="003A7EAA" w:rsidP="003A7EAA">
      <w:pPr>
        <w:ind w:firstLine="360"/>
        <w:jc w:val="both"/>
        <w:rPr>
          <w:rFonts w:asciiTheme="majorHAnsi" w:hAnsiTheme="majorHAnsi" w:cs="Calibri"/>
        </w:rPr>
      </w:pPr>
    </w:p>
    <w:p w14:paraId="02C5F308" w14:textId="77777777" w:rsidR="003A7EAA" w:rsidRPr="0042384C" w:rsidRDefault="003A7EAA" w:rsidP="003A7EAA">
      <w:pPr>
        <w:pStyle w:val="ListParagraph"/>
        <w:numPr>
          <w:ilvl w:val="0"/>
          <w:numId w:val="4"/>
        </w:numPr>
        <w:jc w:val="both"/>
        <w:rPr>
          <w:rFonts w:asciiTheme="majorHAnsi" w:hAnsiTheme="majorHAnsi" w:cs="Calibri"/>
        </w:rPr>
      </w:pPr>
      <w:r w:rsidRPr="0042384C">
        <w:rPr>
          <w:rFonts w:asciiTheme="majorHAnsi" w:hAnsiTheme="majorHAnsi" w:cs="Calibri"/>
        </w:rPr>
        <w:t>შემოსავლების სამსახური;</w:t>
      </w:r>
    </w:p>
    <w:p w14:paraId="7F09285C" w14:textId="77777777" w:rsidR="003A7EAA" w:rsidRPr="0042384C" w:rsidRDefault="003A7EAA" w:rsidP="003A7EAA">
      <w:pPr>
        <w:pStyle w:val="ListParagraph"/>
        <w:numPr>
          <w:ilvl w:val="0"/>
          <w:numId w:val="4"/>
        </w:numPr>
        <w:jc w:val="both"/>
        <w:rPr>
          <w:rFonts w:asciiTheme="majorHAnsi" w:hAnsiTheme="majorHAnsi" w:cs="Calibri"/>
        </w:rPr>
      </w:pPr>
      <w:r w:rsidRPr="0042384C">
        <w:rPr>
          <w:rFonts w:asciiTheme="majorHAnsi" w:hAnsiTheme="majorHAnsi" w:cs="Calibri"/>
        </w:rPr>
        <w:t>საქართველოს ფინანსური მონიტორინგის სამსახური;</w:t>
      </w:r>
    </w:p>
    <w:p w14:paraId="1D5E42F1" w14:textId="19337561" w:rsidR="003A7EAA" w:rsidRPr="0042384C" w:rsidRDefault="003A7EAA" w:rsidP="003A7EAA">
      <w:pPr>
        <w:pStyle w:val="ListParagraph"/>
        <w:numPr>
          <w:ilvl w:val="0"/>
          <w:numId w:val="4"/>
        </w:numPr>
        <w:jc w:val="both"/>
        <w:rPr>
          <w:rFonts w:asciiTheme="majorHAnsi" w:hAnsiTheme="majorHAnsi" w:cs="Calibri"/>
        </w:rPr>
      </w:pPr>
      <w:r w:rsidRPr="0042384C">
        <w:rPr>
          <w:rFonts w:asciiTheme="majorHAnsi" w:hAnsiTheme="majorHAnsi" w:cs="Calibri"/>
        </w:rPr>
        <w:t>საქართველოს სტატისტიკის ეროვნული სამსახური (</w:t>
      </w:r>
      <w:r w:rsidR="009F4FA5" w:rsidRPr="0042384C">
        <w:rPr>
          <w:rFonts w:asciiTheme="majorHAnsi" w:hAnsiTheme="majorHAnsi" w:cs="Calibri"/>
        </w:rPr>
        <w:t xml:space="preserve">შემდგომ </w:t>
      </w:r>
      <w:r w:rsidR="001922B9">
        <w:rPr>
          <w:rFonts w:asciiTheme="majorHAnsi" w:hAnsiTheme="majorHAnsi" w:cs="Calibri"/>
        </w:rPr>
        <w:t>−</w:t>
      </w:r>
      <w:r w:rsidR="009F4FA5" w:rsidRPr="0042384C">
        <w:rPr>
          <w:rFonts w:asciiTheme="majorHAnsi" w:hAnsiTheme="majorHAnsi" w:cs="Calibri"/>
        </w:rPr>
        <w:t xml:space="preserve"> „</w:t>
      </w:r>
      <w:r w:rsidRPr="0042384C">
        <w:rPr>
          <w:rFonts w:asciiTheme="majorHAnsi" w:hAnsiTheme="majorHAnsi" w:cs="Calibri"/>
        </w:rPr>
        <w:t>საქსტატი</w:t>
      </w:r>
      <w:r w:rsidR="009F4FA5" w:rsidRPr="0042384C">
        <w:rPr>
          <w:rFonts w:asciiTheme="majorHAnsi" w:hAnsiTheme="majorHAnsi" w:cs="Calibri"/>
        </w:rPr>
        <w:t>“</w:t>
      </w:r>
      <w:r w:rsidRPr="0042384C">
        <w:rPr>
          <w:rFonts w:asciiTheme="majorHAnsi" w:hAnsiTheme="majorHAnsi" w:cs="Calibri"/>
        </w:rPr>
        <w:t>);</w:t>
      </w:r>
    </w:p>
    <w:p w14:paraId="230F293A" w14:textId="079208B4" w:rsidR="003A7EAA" w:rsidRPr="0042384C" w:rsidRDefault="003A7EAA" w:rsidP="003F7CDA">
      <w:pPr>
        <w:pStyle w:val="ListParagraph"/>
        <w:numPr>
          <w:ilvl w:val="0"/>
          <w:numId w:val="4"/>
        </w:numPr>
        <w:jc w:val="both"/>
        <w:rPr>
          <w:rFonts w:asciiTheme="majorHAnsi" w:hAnsiTheme="majorHAnsi" w:cs="Calibri"/>
        </w:rPr>
      </w:pPr>
      <w:r w:rsidRPr="0042384C">
        <w:rPr>
          <w:rFonts w:asciiTheme="majorHAnsi" w:hAnsiTheme="majorHAnsi" w:cs="Calibri"/>
        </w:rPr>
        <w:t>საქართველოს ეროვნული ბანკი.</w:t>
      </w:r>
    </w:p>
    <w:p w14:paraId="728B9C3F" w14:textId="17E900B7" w:rsidR="003A7EAA" w:rsidRPr="0042384C" w:rsidRDefault="003A7EAA" w:rsidP="003F7CDA">
      <w:pPr>
        <w:ind w:firstLine="360"/>
        <w:jc w:val="both"/>
        <w:rPr>
          <w:rFonts w:asciiTheme="majorHAnsi" w:hAnsiTheme="majorHAnsi" w:cs="Calibri"/>
        </w:rPr>
      </w:pPr>
      <w:r w:rsidRPr="0042384C">
        <w:rPr>
          <w:rFonts w:asciiTheme="majorHAnsi" w:hAnsiTheme="majorHAnsi" w:cs="Calibri"/>
        </w:rPr>
        <w:t>წინამდებარე ანალიზს საფუძვლად ასევე უდევს საერთაშორისო ორგანიზაციების კვლევები და შეფასებები. დამატებით, განხორციელდა საქართველოში მოქმედი თიზ-ების ორგანიზატორი კომპანიების მიდგომებისა და საწარმოებზე ლიცენზიების გაცემის პროცესის შესწავლა.</w:t>
      </w:r>
    </w:p>
    <w:p w14:paraId="2B3A1EF3" w14:textId="11AE5C4B" w:rsidR="00367742" w:rsidRPr="0042384C" w:rsidRDefault="003A7EAA" w:rsidP="001922B9">
      <w:pPr>
        <w:ind w:firstLine="360"/>
        <w:jc w:val="both"/>
        <w:rPr>
          <w:rFonts w:asciiTheme="majorHAnsi" w:hAnsiTheme="majorHAnsi" w:cs="Calibri"/>
        </w:rPr>
      </w:pPr>
      <w:r w:rsidRPr="0042384C">
        <w:rPr>
          <w:rFonts w:asciiTheme="majorHAnsi" w:hAnsiTheme="majorHAnsi" w:cs="Calibri"/>
        </w:rPr>
        <w:t>თიზ-ების შექმნის შესახებ გადაწყვეტილებას იღებს და მათ ფუნქციონირებას ზედამხედველობს საქართველოს მთავრობა. თუმცა, თიზ-ების უშუალო მართვას ახორციელებს თიზ-ების ორგანიზატორი კომპანიები</w:t>
      </w:r>
      <w:r w:rsidR="00367742" w:rsidRPr="0042384C">
        <w:rPr>
          <w:rFonts w:asciiTheme="majorHAnsi" w:hAnsiTheme="majorHAnsi" w:cs="Calibri"/>
        </w:rPr>
        <w:t xml:space="preserve"> ან მათ მიერ დაქირავებული ადმინისტრატორები</w:t>
      </w:r>
      <w:r w:rsidRPr="0042384C">
        <w:rPr>
          <w:rFonts w:asciiTheme="majorHAnsi" w:hAnsiTheme="majorHAnsi" w:cs="Calibri"/>
        </w:rPr>
        <w:t xml:space="preserve">. </w:t>
      </w:r>
    </w:p>
    <w:p w14:paraId="6FC229F7" w14:textId="77777777" w:rsidR="003A7EAA" w:rsidRPr="0042384C" w:rsidRDefault="003A7EAA" w:rsidP="003A7EAA">
      <w:pPr>
        <w:ind w:firstLine="360"/>
        <w:jc w:val="both"/>
        <w:rPr>
          <w:rFonts w:asciiTheme="majorHAnsi" w:hAnsiTheme="majorHAnsi" w:cs="Calibri"/>
        </w:rPr>
      </w:pPr>
      <w:r w:rsidRPr="0042384C">
        <w:rPr>
          <w:rFonts w:asciiTheme="majorHAnsi" w:hAnsiTheme="majorHAnsi" w:cs="Calibri"/>
        </w:rPr>
        <w:t>თიზ-ების შექმნის მიზანია ქვეყნის ეკონომიკაში ინვესტიციების წახალი</w:t>
      </w:r>
      <w:r w:rsidR="00367742" w:rsidRPr="0042384C">
        <w:rPr>
          <w:rFonts w:asciiTheme="majorHAnsi" w:hAnsiTheme="majorHAnsi" w:cs="Calibri"/>
        </w:rPr>
        <w:t>ს</w:t>
      </w:r>
      <w:r w:rsidRPr="0042384C">
        <w:rPr>
          <w:rFonts w:asciiTheme="majorHAnsi" w:hAnsiTheme="majorHAnsi" w:cs="Calibri"/>
        </w:rPr>
        <w:t>ება და ტექნოლოგიური პროგრესის ხელშეწყობა. აქედან გამომდინარე, თიზ-ებში მოქმედ საწარმოებზე ვრცელდება სპეციალური საგადასახადო შეღავათები, კერძოდ:</w:t>
      </w:r>
    </w:p>
    <w:p w14:paraId="06D0D2D5" w14:textId="77777777" w:rsidR="003A7EAA" w:rsidRPr="0042384C" w:rsidRDefault="003A7EAA" w:rsidP="003A7EAA">
      <w:pPr>
        <w:rPr>
          <w:rFonts w:asciiTheme="majorHAnsi" w:hAnsiTheme="majorHAnsi" w:cs="Calibri"/>
        </w:rPr>
      </w:pPr>
    </w:p>
    <w:p w14:paraId="1434F0A6" w14:textId="40193935" w:rsidR="003A7EAA" w:rsidRPr="0042384C" w:rsidRDefault="003A7EAA" w:rsidP="003A7EAA">
      <w:pPr>
        <w:pStyle w:val="ListParagraph"/>
        <w:numPr>
          <w:ilvl w:val="0"/>
          <w:numId w:val="2"/>
        </w:numPr>
        <w:rPr>
          <w:rFonts w:asciiTheme="majorHAnsi" w:hAnsiTheme="majorHAnsi" w:cs="Calibri"/>
        </w:rPr>
      </w:pPr>
      <w:r w:rsidRPr="0042384C">
        <w:rPr>
          <w:rFonts w:asciiTheme="majorHAnsi" w:hAnsiTheme="majorHAnsi" w:cs="Calibri"/>
          <w:bCs/>
        </w:rPr>
        <w:t>თიზ-ში მოქმედი</w:t>
      </w:r>
      <w:r w:rsidRPr="0042384C">
        <w:rPr>
          <w:rFonts w:asciiTheme="majorHAnsi" w:hAnsiTheme="majorHAnsi" w:cs="Calibri"/>
        </w:rPr>
        <w:t> საწარმოს მიერ მიღებული მოგება თავისუფალია მოგების გადასახადისაგან</w:t>
      </w:r>
      <w:r w:rsidR="001922B9">
        <w:rPr>
          <w:rFonts w:asciiTheme="majorHAnsi" w:hAnsiTheme="majorHAnsi" w:cs="Calibri"/>
        </w:rPr>
        <w:t>;</w:t>
      </w:r>
    </w:p>
    <w:p w14:paraId="4E00DDC8" w14:textId="012FEF91" w:rsidR="003A7EAA" w:rsidRPr="0042384C" w:rsidRDefault="003A7EAA" w:rsidP="003A7EAA">
      <w:pPr>
        <w:pStyle w:val="ListParagraph"/>
        <w:numPr>
          <w:ilvl w:val="0"/>
          <w:numId w:val="2"/>
        </w:numPr>
        <w:rPr>
          <w:rFonts w:asciiTheme="majorHAnsi" w:hAnsiTheme="majorHAnsi" w:cs="Calibri"/>
        </w:rPr>
      </w:pPr>
      <w:r w:rsidRPr="0042384C">
        <w:rPr>
          <w:rFonts w:asciiTheme="majorHAnsi" w:hAnsiTheme="majorHAnsi" w:cs="Calibri"/>
        </w:rPr>
        <w:lastRenderedPageBreak/>
        <w:t>თიზ-ის ტერიტორიაზე უცხოური საქონლის შეტანა არ იბეგრება დამატებული ღირებულების გადასახადით</w:t>
      </w:r>
      <w:r w:rsidR="001922B9">
        <w:rPr>
          <w:rFonts w:asciiTheme="majorHAnsi" w:hAnsiTheme="majorHAnsi" w:cs="Calibri"/>
        </w:rPr>
        <w:t>;</w:t>
      </w:r>
    </w:p>
    <w:p w14:paraId="12491475" w14:textId="37A1F3F6" w:rsidR="003A7EAA" w:rsidRPr="0042384C" w:rsidRDefault="003A7EAA" w:rsidP="003A7EAA">
      <w:pPr>
        <w:pStyle w:val="ListParagraph"/>
        <w:numPr>
          <w:ilvl w:val="0"/>
          <w:numId w:val="2"/>
        </w:numPr>
        <w:rPr>
          <w:rFonts w:asciiTheme="majorHAnsi" w:hAnsiTheme="majorHAnsi" w:cs="Calibri"/>
        </w:rPr>
      </w:pPr>
      <w:r w:rsidRPr="0042384C">
        <w:rPr>
          <w:rFonts w:asciiTheme="majorHAnsi" w:hAnsiTheme="majorHAnsi" w:cs="Calibri"/>
          <w:bCs/>
        </w:rPr>
        <w:t>თიზ-ში</w:t>
      </w:r>
      <w:r w:rsidRPr="0042384C">
        <w:rPr>
          <w:rFonts w:asciiTheme="majorHAnsi" w:hAnsiTheme="majorHAnsi" w:cs="Calibri"/>
        </w:rPr>
        <w:t> განხორციელებული ოპერაციები არ იბეგრება დამატებული ღირებულების გადასახადით</w:t>
      </w:r>
      <w:r w:rsidR="001922B9">
        <w:rPr>
          <w:rFonts w:asciiTheme="majorHAnsi" w:hAnsiTheme="majorHAnsi" w:cs="Calibri"/>
        </w:rPr>
        <w:t>;</w:t>
      </w:r>
    </w:p>
    <w:p w14:paraId="18A274F8" w14:textId="6696F326" w:rsidR="003A7EAA" w:rsidRPr="0042384C" w:rsidRDefault="003A7EAA" w:rsidP="003A7EAA">
      <w:pPr>
        <w:pStyle w:val="ListParagraph"/>
        <w:numPr>
          <w:ilvl w:val="0"/>
          <w:numId w:val="2"/>
        </w:numPr>
        <w:rPr>
          <w:rFonts w:asciiTheme="majorHAnsi" w:hAnsiTheme="majorHAnsi" w:cs="Calibri"/>
        </w:rPr>
      </w:pPr>
      <w:r w:rsidRPr="0042384C">
        <w:rPr>
          <w:rFonts w:asciiTheme="majorHAnsi" w:hAnsiTheme="majorHAnsi" w:cs="Calibri"/>
          <w:bCs/>
        </w:rPr>
        <w:t>თიზ-შ</w:t>
      </w:r>
      <w:r w:rsidRPr="0042384C">
        <w:rPr>
          <w:rFonts w:asciiTheme="majorHAnsi" w:hAnsiTheme="majorHAnsi" w:cs="Calibri"/>
        </w:rPr>
        <w:t>ი არსებული ქონება თავისუფალია</w:t>
      </w:r>
      <w:r w:rsidR="00367742" w:rsidRPr="0042384C">
        <w:rPr>
          <w:rFonts w:asciiTheme="majorHAnsi" w:hAnsiTheme="majorHAnsi" w:cs="Calibri"/>
        </w:rPr>
        <w:t xml:space="preserve"> ქონების გადასახადის</w:t>
      </w:r>
      <w:r w:rsidRPr="0042384C">
        <w:rPr>
          <w:rFonts w:asciiTheme="majorHAnsi" w:hAnsiTheme="majorHAnsi" w:cs="Calibri"/>
        </w:rPr>
        <w:t>გან</w:t>
      </w:r>
      <w:r w:rsidR="001922B9">
        <w:rPr>
          <w:rFonts w:asciiTheme="majorHAnsi" w:hAnsiTheme="majorHAnsi" w:cs="Calibri"/>
        </w:rPr>
        <w:t>;</w:t>
      </w:r>
    </w:p>
    <w:p w14:paraId="2B6E04DE" w14:textId="01385E86" w:rsidR="003A7EAA" w:rsidRPr="0042384C" w:rsidRDefault="003A7EAA" w:rsidP="003A7EAA">
      <w:pPr>
        <w:pStyle w:val="ListParagraph"/>
        <w:numPr>
          <w:ilvl w:val="0"/>
          <w:numId w:val="2"/>
        </w:numPr>
        <w:rPr>
          <w:rFonts w:asciiTheme="majorHAnsi" w:hAnsiTheme="majorHAnsi" w:cs="Calibri"/>
        </w:rPr>
      </w:pPr>
      <w:r w:rsidRPr="0042384C">
        <w:rPr>
          <w:rFonts w:asciiTheme="majorHAnsi" w:hAnsiTheme="majorHAnsi" w:cs="Calibri"/>
        </w:rPr>
        <w:t>თიზ-ის ტერიტორიაზე უცხოური საქონლის შეტანა თავისუფალია იმპორტის გადასახადისაგან</w:t>
      </w:r>
      <w:r w:rsidR="001922B9">
        <w:rPr>
          <w:rFonts w:asciiTheme="majorHAnsi" w:hAnsiTheme="majorHAnsi" w:cs="Calibri"/>
        </w:rPr>
        <w:t>;</w:t>
      </w:r>
    </w:p>
    <w:p w14:paraId="36BD8A05" w14:textId="77777777" w:rsidR="003A7EAA" w:rsidRPr="0042384C" w:rsidRDefault="003A7EAA" w:rsidP="003A7EAA">
      <w:pPr>
        <w:pStyle w:val="ListParagraph"/>
        <w:numPr>
          <w:ilvl w:val="0"/>
          <w:numId w:val="2"/>
        </w:numPr>
        <w:rPr>
          <w:rFonts w:asciiTheme="majorHAnsi" w:hAnsiTheme="majorHAnsi" w:cs="Calibri"/>
        </w:rPr>
      </w:pPr>
      <w:r w:rsidRPr="0042384C">
        <w:rPr>
          <w:rFonts w:asciiTheme="majorHAnsi" w:hAnsiTheme="majorHAnsi" w:cs="Calibri"/>
          <w:bCs/>
        </w:rPr>
        <w:t>თიზ-ში</w:t>
      </w:r>
      <w:r w:rsidRPr="0042384C">
        <w:rPr>
          <w:rFonts w:asciiTheme="majorHAnsi" w:hAnsiTheme="majorHAnsi" w:cs="Calibri"/>
        </w:rPr>
        <w:t> წარმოებული საქონლის შეტანა (იმპორტი) საქართველოს სხვა ტერიტორიაზე თავისუფალი იმპორტის გადასახადისაგან.</w:t>
      </w:r>
    </w:p>
    <w:p w14:paraId="2064C5B3" w14:textId="77777777" w:rsidR="003A7EAA" w:rsidRPr="0042384C" w:rsidRDefault="003A7EAA" w:rsidP="003A7EAA">
      <w:pPr>
        <w:rPr>
          <w:rFonts w:asciiTheme="majorHAnsi" w:hAnsiTheme="majorHAnsi" w:cs="Calibri"/>
        </w:rPr>
      </w:pPr>
    </w:p>
    <w:p w14:paraId="26AA5921" w14:textId="01562AEF" w:rsidR="003A7EAA" w:rsidRPr="0042384C" w:rsidRDefault="003A7EAA" w:rsidP="003E3540">
      <w:pPr>
        <w:ind w:firstLine="360"/>
        <w:jc w:val="both"/>
        <w:rPr>
          <w:rFonts w:asciiTheme="majorHAnsi" w:hAnsiTheme="majorHAnsi" w:cs="Calibri"/>
        </w:rPr>
      </w:pPr>
      <w:r w:rsidRPr="0042384C">
        <w:rPr>
          <w:rFonts w:asciiTheme="majorHAnsi" w:hAnsiTheme="majorHAnsi" w:cs="Calibri"/>
        </w:rPr>
        <w:t>საქართველოს ტერიტორიაზე ამჟამად ფუნქციონირებს ოთხი თიზ-ი:</w:t>
      </w:r>
    </w:p>
    <w:p w14:paraId="702A210D" w14:textId="09A0B735" w:rsidR="003A7EAA" w:rsidRPr="0042384C" w:rsidRDefault="003A7EAA" w:rsidP="003A7EAA">
      <w:pPr>
        <w:pStyle w:val="ListParagraph"/>
        <w:numPr>
          <w:ilvl w:val="0"/>
          <w:numId w:val="1"/>
        </w:numPr>
        <w:rPr>
          <w:rFonts w:asciiTheme="majorHAnsi" w:hAnsiTheme="majorHAnsi" w:cs="Calibri"/>
        </w:rPr>
      </w:pPr>
      <w:r w:rsidRPr="0042384C">
        <w:rPr>
          <w:rFonts w:asciiTheme="majorHAnsi" w:hAnsiTheme="majorHAnsi" w:cs="Calibri"/>
        </w:rPr>
        <w:t>ფოთის თავისუფალი ინდუსტრიული ზონა</w:t>
      </w:r>
      <w:r w:rsidR="001922B9">
        <w:rPr>
          <w:rFonts w:asciiTheme="majorHAnsi" w:hAnsiTheme="majorHAnsi" w:cs="Calibri"/>
        </w:rPr>
        <w:t>;</w:t>
      </w:r>
    </w:p>
    <w:p w14:paraId="1B42D64D" w14:textId="404B461E" w:rsidR="003A7EAA" w:rsidRPr="0042384C" w:rsidRDefault="003A7EAA" w:rsidP="003A7EAA">
      <w:pPr>
        <w:pStyle w:val="ListParagraph"/>
        <w:numPr>
          <w:ilvl w:val="0"/>
          <w:numId w:val="1"/>
        </w:numPr>
        <w:rPr>
          <w:rFonts w:asciiTheme="majorHAnsi" w:hAnsiTheme="majorHAnsi" w:cs="Calibri"/>
        </w:rPr>
      </w:pPr>
      <w:r w:rsidRPr="0042384C">
        <w:rPr>
          <w:rFonts w:asciiTheme="majorHAnsi" w:hAnsiTheme="majorHAnsi" w:cs="Calibri"/>
        </w:rPr>
        <w:t>ქუთაისის თავისუფალი ინდუსტრიული ზონა</w:t>
      </w:r>
      <w:r w:rsidR="001922B9">
        <w:rPr>
          <w:rFonts w:asciiTheme="majorHAnsi" w:hAnsiTheme="majorHAnsi" w:cs="Calibri"/>
        </w:rPr>
        <w:t>;</w:t>
      </w:r>
    </w:p>
    <w:p w14:paraId="6E241512" w14:textId="48B8F014" w:rsidR="003A7EAA" w:rsidRPr="0042384C" w:rsidRDefault="003A7EAA" w:rsidP="003A7EAA">
      <w:pPr>
        <w:pStyle w:val="ListParagraph"/>
        <w:numPr>
          <w:ilvl w:val="0"/>
          <w:numId w:val="1"/>
        </w:numPr>
        <w:rPr>
          <w:rFonts w:asciiTheme="majorHAnsi" w:hAnsiTheme="majorHAnsi" w:cs="Calibri"/>
        </w:rPr>
      </w:pPr>
      <w:r w:rsidRPr="0042384C">
        <w:rPr>
          <w:rFonts w:asciiTheme="majorHAnsi" w:hAnsiTheme="majorHAnsi" w:cs="Calibri"/>
        </w:rPr>
        <w:t>ქუთაისის ჰუალინგის თავისუფალი ინდუსტრიული ზონა</w:t>
      </w:r>
      <w:r w:rsidR="001922B9">
        <w:rPr>
          <w:rFonts w:asciiTheme="majorHAnsi" w:hAnsiTheme="majorHAnsi" w:cs="Calibri"/>
        </w:rPr>
        <w:t>;</w:t>
      </w:r>
    </w:p>
    <w:p w14:paraId="79495037" w14:textId="77777777" w:rsidR="003A7EAA" w:rsidRPr="0042384C" w:rsidRDefault="003A7EAA" w:rsidP="003A7EAA">
      <w:pPr>
        <w:pStyle w:val="ListParagraph"/>
        <w:numPr>
          <w:ilvl w:val="0"/>
          <w:numId w:val="1"/>
        </w:numPr>
        <w:rPr>
          <w:rFonts w:asciiTheme="majorHAnsi" w:hAnsiTheme="majorHAnsi" w:cs="Calibri"/>
        </w:rPr>
      </w:pPr>
      <w:r w:rsidRPr="0042384C">
        <w:rPr>
          <w:rFonts w:asciiTheme="majorHAnsi" w:hAnsiTheme="majorHAnsi" w:cs="Calibri"/>
        </w:rPr>
        <w:t>თბილისის ტექნოლოგიური პარკის თავისუფალი ინდუსტრიული ზონა.</w:t>
      </w:r>
    </w:p>
    <w:p w14:paraId="0C9757C7" w14:textId="77777777" w:rsidR="003A7EAA" w:rsidRPr="0042384C" w:rsidRDefault="003A7EAA" w:rsidP="003A7EAA">
      <w:pPr>
        <w:rPr>
          <w:rFonts w:asciiTheme="majorHAnsi" w:hAnsiTheme="majorHAnsi" w:cs="Calibri"/>
        </w:rPr>
      </w:pPr>
    </w:p>
    <w:p w14:paraId="250F2245" w14:textId="7AACB6A7" w:rsidR="003A7EAA" w:rsidRPr="0042384C" w:rsidRDefault="003A7EAA" w:rsidP="003A7EAA">
      <w:pPr>
        <w:ind w:firstLine="360"/>
        <w:jc w:val="both"/>
        <w:rPr>
          <w:rFonts w:asciiTheme="majorHAnsi" w:hAnsiTheme="majorHAnsi" w:cs="Calibri"/>
        </w:rPr>
      </w:pPr>
      <w:r w:rsidRPr="0042384C">
        <w:rPr>
          <w:rFonts w:asciiTheme="majorHAnsi" w:hAnsiTheme="majorHAnsi" w:cs="Calibri"/>
        </w:rPr>
        <w:t xml:space="preserve">ოთხივე თიზ-ში ჯამში მოქმედებს 533 საწარმო. ბოლო წლებში თიზ-ში მოქმედ საწარმოთა რაოდენობა უმნიშვნელოდ გაიზარდა. ამ საწარმოთა აბსოლუტური უმეტესობა საქართველოში რეგისტრირებული შეზღუდული პასუხისმგებლობის საზოგადოებაა (შემდგომ </w:t>
      </w:r>
      <w:r w:rsidR="001922B9">
        <w:rPr>
          <w:rFonts w:asciiTheme="majorHAnsi" w:hAnsiTheme="majorHAnsi" w:cs="Calibri"/>
        </w:rPr>
        <w:t>−</w:t>
      </w:r>
      <w:r w:rsidRPr="0042384C">
        <w:rPr>
          <w:rFonts w:asciiTheme="majorHAnsi" w:hAnsiTheme="majorHAnsi" w:cs="Calibri"/>
        </w:rPr>
        <w:t xml:space="preserve"> „შპს“).</w:t>
      </w:r>
    </w:p>
    <w:p w14:paraId="50A274A7" w14:textId="77777777" w:rsidR="003A7EAA" w:rsidRPr="0042384C" w:rsidRDefault="003A7EAA" w:rsidP="003A7EAA">
      <w:pPr>
        <w:rPr>
          <w:rFonts w:asciiTheme="majorHAnsi" w:hAnsiTheme="majorHAnsi" w:cs="Calibri"/>
        </w:rPr>
      </w:pPr>
    </w:p>
    <w:p w14:paraId="0361FE5E" w14:textId="77777777" w:rsidR="003A7EAA" w:rsidRPr="0042384C" w:rsidRDefault="003A7EAA" w:rsidP="003A7EAA">
      <w:pPr>
        <w:ind w:firstLine="360"/>
        <w:jc w:val="both"/>
        <w:rPr>
          <w:rFonts w:asciiTheme="majorHAnsi" w:hAnsiTheme="majorHAnsi" w:cs="Calibri"/>
          <w:i/>
        </w:rPr>
      </w:pPr>
      <w:r w:rsidRPr="0042384C">
        <w:rPr>
          <w:rFonts w:asciiTheme="majorHAnsi" w:hAnsiTheme="majorHAnsi" w:cs="Calibri"/>
          <w:i/>
        </w:rPr>
        <w:t>თიზ-ებში მოქმედი საწარმოები</w:t>
      </w:r>
    </w:p>
    <w:p w14:paraId="61680B80" w14:textId="77777777" w:rsidR="003A7EAA" w:rsidRPr="0042384C" w:rsidRDefault="003A7EAA" w:rsidP="003A7EAA">
      <w:pPr>
        <w:jc w:val="center"/>
        <w:rPr>
          <w:rFonts w:asciiTheme="majorHAnsi" w:hAnsiTheme="majorHAnsi" w:cs="Calibri"/>
        </w:rPr>
      </w:pPr>
    </w:p>
    <w:tbl>
      <w:tblPr>
        <w:tblW w:w="0" w:type="auto"/>
        <w:tblInd w:w="43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3870"/>
        <w:gridCol w:w="990"/>
        <w:gridCol w:w="1080"/>
        <w:gridCol w:w="1080"/>
        <w:gridCol w:w="1170"/>
      </w:tblGrid>
      <w:tr w:rsidR="003A7EAA" w:rsidRPr="0042384C" w14:paraId="6EF1E6C7" w14:textId="77777777" w:rsidTr="00367742">
        <w:trPr>
          <w:trHeight w:val="510"/>
        </w:trPr>
        <w:tc>
          <w:tcPr>
            <w:tcW w:w="3870" w:type="dxa"/>
            <w:shd w:val="clear" w:color="auto" w:fill="D9E2F3" w:themeFill="accent5" w:themeFillTint="33"/>
            <w:vAlign w:val="center"/>
          </w:tcPr>
          <w:p w14:paraId="6F8E25E8" w14:textId="77777777" w:rsidR="003A7EAA" w:rsidRPr="0042384C" w:rsidRDefault="003A7EAA" w:rsidP="00367742">
            <w:pPr>
              <w:jc w:val="center"/>
              <w:rPr>
                <w:rFonts w:asciiTheme="majorHAnsi" w:hAnsiTheme="majorHAnsi" w:cs="Calibri"/>
                <w:b/>
              </w:rPr>
            </w:pPr>
            <w:r w:rsidRPr="0042384C">
              <w:rPr>
                <w:rFonts w:asciiTheme="majorHAnsi" w:hAnsiTheme="majorHAnsi" w:cs="Calibri"/>
                <w:b/>
              </w:rPr>
              <w:t>სახელწოდება</w:t>
            </w:r>
          </w:p>
        </w:tc>
        <w:tc>
          <w:tcPr>
            <w:tcW w:w="990" w:type="dxa"/>
            <w:shd w:val="clear" w:color="auto" w:fill="D9E2F3" w:themeFill="accent5" w:themeFillTint="33"/>
            <w:vAlign w:val="center"/>
          </w:tcPr>
          <w:p w14:paraId="3B513183" w14:textId="77777777" w:rsidR="003A7EAA" w:rsidRPr="0042384C" w:rsidRDefault="003A7EAA" w:rsidP="00367742">
            <w:pPr>
              <w:jc w:val="center"/>
              <w:rPr>
                <w:rFonts w:asciiTheme="majorHAnsi" w:hAnsiTheme="majorHAnsi" w:cs="Calibri"/>
                <w:b/>
              </w:rPr>
            </w:pPr>
            <w:r w:rsidRPr="0042384C">
              <w:rPr>
                <w:rFonts w:asciiTheme="majorHAnsi" w:hAnsiTheme="majorHAnsi" w:cs="Calibri"/>
                <w:b/>
              </w:rPr>
              <w:t>2020</w:t>
            </w:r>
          </w:p>
        </w:tc>
        <w:tc>
          <w:tcPr>
            <w:tcW w:w="1080" w:type="dxa"/>
            <w:shd w:val="clear" w:color="auto" w:fill="D9E2F3" w:themeFill="accent5" w:themeFillTint="33"/>
            <w:vAlign w:val="center"/>
          </w:tcPr>
          <w:p w14:paraId="34E54EB9" w14:textId="77777777" w:rsidR="003A7EAA" w:rsidRPr="0042384C" w:rsidRDefault="003A7EAA" w:rsidP="00367742">
            <w:pPr>
              <w:jc w:val="center"/>
              <w:rPr>
                <w:rFonts w:asciiTheme="majorHAnsi" w:hAnsiTheme="majorHAnsi" w:cs="Calibri"/>
                <w:b/>
              </w:rPr>
            </w:pPr>
            <w:r w:rsidRPr="0042384C">
              <w:rPr>
                <w:rFonts w:asciiTheme="majorHAnsi" w:hAnsiTheme="majorHAnsi" w:cs="Calibri"/>
                <w:b/>
              </w:rPr>
              <w:t>2021</w:t>
            </w:r>
          </w:p>
        </w:tc>
        <w:tc>
          <w:tcPr>
            <w:tcW w:w="1080" w:type="dxa"/>
            <w:shd w:val="clear" w:color="auto" w:fill="D9E2F3" w:themeFill="accent5" w:themeFillTint="33"/>
            <w:vAlign w:val="center"/>
          </w:tcPr>
          <w:p w14:paraId="5C09EAC5" w14:textId="77777777" w:rsidR="003A7EAA" w:rsidRPr="0042384C" w:rsidRDefault="003A7EAA" w:rsidP="00367742">
            <w:pPr>
              <w:jc w:val="center"/>
              <w:rPr>
                <w:rFonts w:asciiTheme="majorHAnsi" w:hAnsiTheme="majorHAnsi" w:cs="Calibri"/>
                <w:b/>
              </w:rPr>
            </w:pPr>
            <w:r w:rsidRPr="0042384C">
              <w:rPr>
                <w:rFonts w:asciiTheme="majorHAnsi" w:hAnsiTheme="majorHAnsi" w:cs="Calibri"/>
                <w:b/>
              </w:rPr>
              <w:t>2022</w:t>
            </w:r>
          </w:p>
        </w:tc>
        <w:tc>
          <w:tcPr>
            <w:tcW w:w="1170" w:type="dxa"/>
            <w:shd w:val="clear" w:color="auto" w:fill="D9E2F3" w:themeFill="accent5" w:themeFillTint="33"/>
            <w:vAlign w:val="center"/>
          </w:tcPr>
          <w:p w14:paraId="03806010" w14:textId="77777777" w:rsidR="003A7EAA" w:rsidRPr="0042384C" w:rsidRDefault="003A7EAA" w:rsidP="00367742">
            <w:pPr>
              <w:jc w:val="center"/>
              <w:rPr>
                <w:rFonts w:asciiTheme="majorHAnsi" w:hAnsiTheme="majorHAnsi" w:cs="Calibri"/>
                <w:b/>
              </w:rPr>
            </w:pPr>
            <w:r w:rsidRPr="0042384C">
              <w:rPr>
                <w:rFonts w:asciiTheme="majorHAnsi" w:hAnsiTheme="majorHAnsi" w:cs="Calibri"/>
                <w:b/>
              </w:rPr>
              <w:t>2023</w:t>
            </w:r>
          </w:p>
        </w:tc>
      </w:tr>
      <w:tr w:rsidR="003A7EAA" w:rsidRPr="0042384C" w14:paraId="5D0DF1B0" w14:textId="77777777" w:rsidTr="00367742">
        <w:trPr>
          <w:trHeight w:val="728"/>
        </w:trPr>
        <w:tc>
          <w:tcPr>
            <w:tcW w:w="3870" w:type="dxa"/>
            <w:vAlign w:val="center"/>
          </w:tcPr>
          <w:p w14:paraId="512F5D7F" w14:textId="77777777" w:rsidR="003A7EAA" w:rsidRPr="0042384C" w:rsidRDefault="003A7EAA" w:rsidP="00367742">
            <w:pPr>
              <w:rPr>
                <w:rFonts w:asciiTheme="majorHAnsi" w:hAnsiTheme="majorHAnsi" w:cs="Calibri"/>
              </w:rPr>
            </w:pPr>
            <w:r w:rsidRPr="0042384C">
              <w:rPr>
                <w:rFonts w:asciiTheme="majorHAnsi" w:hAnsiTheme="majorHAnsi" w:cs="Calibri"/>
              </w:rPr>
              <w:t>თბილისის ტექნოლოგიური პარკის თიზ-ი</w:t>
            </w:r>
          </w:p>
        </w:tc>
        <w:tc>
          <w:tcPr>
            <w:tcW w:w="990" w:type="dxa"/>
            <w:vAlign w:val="center"/>
          </w:tcPr>
          <w:p w14:paraId="2122BF0F"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195</w:t>
            </w:r>
          </w:p>
        </w:tc>
        <w:tc>
          <w:tcPr>
            <w:tcW w:w="1080" w:type="dxa"/>
            <w:vAlign w:val="center"/>
          </w:tcPr>
          <w:p w14:paraId="4D0867D5"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195</w:t>
            </w:r>
          </w:p>
        </w:tc>
        <w:tc>
          <w:tcPr>
            <w:tcW w:w="1080" w:type="dxa"/>
            <w:vAlign w:val="center"/>
          </w:tcPr>
          <w:p w14:paraId="568437DC"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195</w:t>
            </w:r>
          </w:p>
        </w:tc>
        <w:tc>
          <w:tcPr>
            <w:tcW w:w="1170" w:type="dxa"/>
            <w:vAlign w:val="center"/>
          </w:tcPr>
          <w:p w14:paraId="295FD8D3"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193</w:t>
            </w:r>
          </w:p>
        </w:tc>
      </w:tr>
      <w:tr w:rsidR="003A7EAA" w:rsidRPr="0042384C" w14:paraId="11EAA11E" w14:textId="77777777" w:rsidTr="00367742">
        <w:trPr>
          <w:trHeight w:val="431"/>
        </w:trPr>
        <w:tc>
          <w:tcPr>
            <w:tcW w:w="3870" w:type="dxa"/>
            <w:vAlign w:val="center"/>
          </w:tcPr>
          <w:p w14:paraId="7AFDE15F" w14:textId="77777777" w:rsidR="003A7EAA" w:rsidRPr="0042384C" w:rsidRDefault="003A7EAA" w:rsidP="00367742">
            <w:pPr>
              <w:rPr>
                <w:rFonts w:asciiTheme="majorHAnsi" w:hAnsiTheme="majorHAnsi" w:cs="Calibri"/>
              </w:rPr>
            </w:pPr>
            <w:r w:rsidRPr="0042384C">
              <w:rPr>
                <w:rFonts w:asciiTheme="majorHAnsi" w:hAnsiTheme="majorHAnsi" w:cs="Calibri"/>
              </w:rPr>
              <w:t>ფოთის თიზ-ი</w:t>
            </w:r>
          </w:p>
        </w:tc>
        <w:tc>
          <w:tcPr>
            <w:tcW w:w="990" w:type="dxa"/>
            <w:vAlign w:val="center"/>
          </w:tcPr>
          <w:p w14:paraId="78BC040D"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138</w:t>
            </w:r>
          </w:p>
        </w:tc>
        <w:tc>
          <w:tcPr>
            <w:tcW w:w="1080" w:type="dxa"/>
            <w:vAlign w:val="center"/>
          </w:tcPr>
          <w:p w14:paraId="5FF46161"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125</w:t>
            </w:r>
          </w:p>
        </w:tc>
        <w:tc>
          <w:tcPr>
            <w:tcW w:w="1080" w:type="dxa"/>
            <w:vAlign w:val="center"/>
          </w:tcPr>
          <w:p w14:paraId="3D48AD6A"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135</w:t>
            </w:r>
          </w:p>
        </w:tc>
        <w:tc>
          <w:tcPr>
            <w:tcW w:w="1170" w:type="dxa"/>
            <w:vAlign w:val="center"/>
          </w:tcPr>
          <w:p w14:paraId="283199EB"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132</w:t>
            </w:r>
          </w:p>
        </w:tc>
      </w:tr>
      <w:tr w:rsidR="003A7EAA" w:rsidRPr="0042384C" w14:paraId="46A06938" w14:textId="77777777" w:rsidTr="00367742">
        <w:trPr>
          <w:trHeight w:val="440"/>
        </w:trPr>
        <w:tc>
          <w:tcPr>
            <w:tcW w:w="3870" w:type="dxa"/>
            <w:vAlign w:val="center"/>
          </w:tcPr>
          <w:p w14:paraId="7133C015" w14:textId="77777777" w:rsidR="003A7EAA" w:rsidRPr="0042384C" w:rsidRDefault="003A7EAA" w:rsidP="00367742">
            <w:pPr>
              <w:rPr>
                <w:rFonts w:asciiTheme="majorHAnsi" w:hAnsiTheme="majorHAnsi" w:cs="Calibri"/>
              </w:rPr>
            </w:pPr>
            <w:r w:rsidRPr="0042384C">
              <w:rPr>
                <w:rFonts w:asciiTheme="majorHAnsi" w:hAnsiTheme="majorHAnsi" w:cs="Calibri"/>
              </w:rPr>
              <w:t>ქუთაისის თიზ-ი</w:t>
            </w:r>
          </w:p>
        </w:tc>
        <w:tc>
          <w:tcPr>
            <w:tcW w:w="990" w:type="dxa"/>
            <w:vAlign w:val="center"/>
          </w:tcPr>
          <w:p w14:paraId="695CCAB4"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140</w:t>
            </w:r>
          </w:p>
        </w:tc>
        <w:tc>
          <w:tcPr>
            <w:tcW w:w="1080" w:type="dxa"/>
            <w:vAlign w:val="center"/>
          </w:tcPr>
          <w:p w14:paraId="27D95CF2"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147</w:t>
            </w:r>
          </w:p>
        </w:tc>
        <w:tc>
          <w:tcPr>
            <w:tcW w:w="1080" w:type="dxa"/>
            <w:vAlign w:val="center"/>
          </w:tcPr>
          <w:p w14:paraId="58CF6590"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160</w:t>
            </w:r>
          </w:p>
        </w:tc>
        <w:tc>
          <w:tcPr>
            <w:tcW w:w="1170" w:type="dxa"/>
            <w:vAlign w:val="center"/>
          </w:tcPr>
          <w:p w14:paraId="27782140"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173</w:t>
            </w:r>
          </w:p>
        </w:tc>
      </w:tr>
      <w:tr w:rsidR="003A7EAA" w:rsidRPr="0042384C" w14:paraId="309EAE74" w14:textId="77777777" w:rsidTr="00367742">
        <w:trPr>
          <w:trHeight w:val="449"/>
        </w:trPr>
        <w:tc>
          <w:tcPr>
            <w:tcW w:w="3870" w:type="dxa"/>
            <w:vAlign w:val="center"/>
          </w:tcPr>
          <w:p w14:paraId="12F16270" w14:textId="77777777" w:rsidR="003A7EAA" w:rsidRPr="0042384C" w:rsidRDefault="003A7EAA" w:rsidP="00367742">
            <w:pPr>
              <w:rPr>
                <w:rFonts w:asciiTheme="majorHAnsi" w:hAnsiTheme="majorHAnsi" w:cs="Calibri"/>
              </w:rPr>
            </w:pPr>
            <w:r w:rsidRPr="0042384C">
              <w:rPr>
                <w:rFonts w:asciiTheme="majorHAnsi" w:hAnsiTheme="majorHAnsi" w:cs="Calibri"/>
              </w:rPr>
              <w:t>ქუთაისის ჰუალინგის თიზ-ი</w:t>
            </w:r>
          </w:p>
        </w:tc>
        <w:tc>
          <w:tcPr>
            <w:tcW w:w="990" w:type="dxa"/>
            <w:vAlign w:val="center"/>
          </w:tcPr>
          <w:p w14:paraId="515A150A"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22</w:t>
            </w:r>
          </w:p>
        </w:tc>
        <w:tc>
          <w:tcPr>
            <w:tcW w:w="1080" w:type="dxa"/>
            <w:vAlign w:val="center"/>
          </w:tcPr>
          <w:p w14:paraId="07E5FCE0"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26</w:t>
            </w:r>
          </w:p>
        </w:tc>
        <w:tc>
          <w:tcPr>
            <w:tcW w:w="1080" w:type="dxa"/>
            <w:vAlign w:val="center"/>
          </w:tcPr>
          <w:p w14:paraId="1D22C17E"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33</w:t>
            </w:r>
          </w:p>
        </w:tc>
        <w:tc>
          <w:tcPr>
            <w:tcW w:w="1170" w:type="dxa"/>
            <w:vAlign w:val="center"/>
          </w:tcPr>
          <w:p w14:paraId="5965C761"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35</w:t>
            </w:r>
          </w:p>
        </w:tc>
      </w:tr>
      <w:tr w:rsidR="003A7EAA" w:rsidRPr="0042384C" w14:paraId="208E090C" w14:textId="77777777" w:rsidTr="00367742">
        <w:trPr>
          <w:trHeight w:val="341"/>
        </w:trPr>
        <w:tc>
          <w:tcPr>
            <w:tcW w:w="3870" w:type="dxa"/>
            <w:shd w:val="clear" w:color="auto" w:fill="F2F2F2" w:themeFill="background1" w:themeFillShade="F2"/>
            <w:vAlign w:val="center"/>
          </w:tcPr>
          <w:p w14:paraId="5297664A" w14:textId="77777777" w:rsidR="003A7EAA" w:rsidRPr="0042384C" w:rsidRDefault="003A7EAA" w:rsidP="0045496A">
            <w:pPr>
              <w:jc w:val="center"/>
              <w:rPr>
                <w:rFonts w:asciiTheme="majorHAnsi" w:hAnsiTheme="majorHAnsi" w:cs="Calibri"/>
                <w:b/>
              </w:rPr>
            </w:pPr>
            <w:r w:rsidRPr="0042384C">
              <w:rPr>
                <w:rFonts w:asciiTheme="majorHAnsi" w:hAnsiTheme="majorHAnsi" w:cs="Calibri"/>
                <w:b/>
              </w:rPr>
              <w:t>ჯამი</w:t>
            </w:r>
          </w:p>
        </w:tc>
        <w:tc>
          <w:tcPr>
            <w:tcW w:w="990" w:type="dxa"/>
            <w:shd w:val="clear" w:color="auto" w:fill="F2F2F2" w:themeFill="background1" w:themeFillShade="F2"/>
            <w:vAlign w:val="center"/>
          </w:tcPr>
          <w:p w14:paraId="153C1009" w14:textId="77777777" w:rsidR="003A7EAA" w:rsidRPr="0042384C" w:rsidRDefault="003A7EAA" w:rsidP="00367742">
            <w:pPr>
              <w:jc w:val="center"/>
              <w:rPr>
                <w:rFonts w:asciiTheme="majorHAnsi" w:hAnsiTheme="majorHAnsi" w:cs="Calibri"/>
                <w:b/>
                <w:bCs/>
                <w:color w:val="000000"/>
              </w:rPr>
            </w:pPr>
            <w:r w:rsidRPr="0042384C">
              <w:rPr>
                <w:rFonts w:asciiTheme="majorHAnsi" w:hAnsiTheme="majorHAnsi" w:cs="Calibri"/>
                <w:b/>
                <w:bCs/>
                <w:color w:val="000000"/>
              </w:rPr>
              <w:t>495</w:t>
            </w:r>
          </w:p>
        </w:tc>
        <w:tc>
          <w:tcPr>
            <w:tcW w:w="1080" w:type="dxa"/>
            <w:shd w:val="clear" w:color="auto" w:fill="F2F2F2" w:themeFill="background1" w:themeFillShade="F2"/>
            <w:vAlign w:val="center"/>
          </w:tcPr>
          <w:p w14:paraId="3C3FD301" w14:textId="77777777" w:rsidR="003A7EAA" w:rsidRPr="0042384C" w:rsidRDefault="003A7EAA" w:rsidP="00367742">
            <w:pPr>
              <w:jc w:val="center"/>
              <w:rPr>
                <w:rFonts w:asciiTheme="majorHAnsi" w:hAnsiTheme="majorHAnsi" w:cs="Calibri"/>
                <w:b/>
                <w:bCs/>
                <w:color w:val="000000"/>
              </w:rPr>
            </w:pPr>
            <w:r w:rsidRPr="0042384C">
              <w:rPr>
                <w:rFonts w:asciiTheme="majorHAnsi" w:hAnsiTheme="majorHAnsi" w:cs="Calibri"/>
                <w:b/>
                <w:bCs/>
                <w:color w:val="000000"/>
              </w:rPr>
              <w:t>493</w:t>
            </w:r>
          </w:p>
        </w:tc>
        <w:tc>
          <w:tcPr>
            <w:tcW w:w="1080" w:type="dxa"/>
            <w:shd w:val="clear" w:color="auto" w:fill="F2F2F2" w:themeFill="background1" w:themeFillShade="F2"/>
            <w:vAlign w:val="center"/>
          </w:tcPr>
          <w:p w14:paraId="778EADDE" w14:textId="77777777" w:rsidR="003A7EAA" w:rsidRPr="0042384C" w:rsidRDefault="003A7EAA" w:rsidP="00367742">
            <w:pPr>
              <w:jc w:val="center"/>
              <w:rPr>
                <w:rFonts w:asciiTheme="majorHAnsi" w:hAnsiTheme="majorHAnsi" w:cs="Calibri"/>
                <w:b/>
                <w:bCs/>
                <w:color w:val="000000"/>
              </w:rPr>
            </w:pPr>
            <w:r w:rsidRPr="0042384C">
              <w:rPr>
                <w:rFonts w:asciiTheme="majorHAnsi" w:hAnsiTheme="majorHAnsi" w:cs="Calibri"/>
                <w:b/>
                <w:bCs/>
                <w:color w:val="000000"/>
              </w:rPr>
              <w:t>523</w:t>
            </w:r>
          </w:p>
        </w:tc>
        <w:tc>
          <w:tcPr>
            <w:tcW w:w="1170" w:type="dxa"/>
            <w:shd w:val="clear" w:color="auto" w:fill="F2F2F2" w:themeFill="background1" w:themeFillShade="F2"/>
            <w:vAlign w:val="center"/>
          </w:tcPr>
          <w:p w14:paraId="37B11C0E" w14:textId="77777777" w:rsidR="003A7EAA" w:rsidRPr="0042384C" w:rsidRDefault="003A7EAA" w:rsidP="00367742">
            <w:pPr>
              <w:jc w:val="center"/>
              <w:rPr>
                <w:rFonts w:asciiTheme="majorHAnsi" w:hAnsiTheme="majorHAnsi" w:cs="Calibri"/>
                <w:b/>
                <w:bCs/>
                <w:color w:val="000000"/>
              </w:rPr>
            </w:pPr>
            <w:r w:rsidRPr="0042384C">
              <w:rPr>
                <w:rFonts w:asciiTheme="majorHAnsi" w:hAnsiTheme="majorHAnsi" w:cs="Calibri"/>
                <w:b/>
                <w:bCs/>
                <w:color w:val="000000"/>
              </w:rPr>
              <w:t>533</w:t>
            </w:r>
          </w:p>
        </w:tc>
      </w:tr>
    </w:tbl>
    <w:p w14:paraId="3DC205E2" w14:textId="61B9B4D7" w:rsidR="003A7EAA" w:rsidRPr="0042384C" w:rsidRDefault="003A7EAA" w:rsidP="003A7EAA">
      <w:pPr>
        <w:rPr>
          <w:rFonts w:asciiTheme="majorHAnsi" w:hAnsiTheme="majorHAnsi" w:cs="Calibri"/>
        </w:rPr>
      </w:pPr>
    </w:p>
    <w:p w14:paraId="57688305" w14:textId="77777777" w:rsidR="003A7EAA" w:rsidRPr="0042384C" w:rsidRDefault="003A7EAA" w:rsidP="003A7EAA">
      <w:pPr>
        <w:rPr>
          <w:rFonts w:asciiTheme="majorHAnsi" w:hAnsiTheme="majorHAnsi" w:cs="Calibri"/>
        </w:rPr>
      </w:pPr>
    </w:p>
    <w:p w14:paraId="5F774170" w14:textId="77777777" w:rsidR="003A7EAA" w:rsidRPr="0042384C" w:rsidRDefault="003A7EAA" w:rsidP="003A7EAA">
      <w:pPr>
        <w:ind w:firstLine="360"/>
        <w:jc w:val="both"/>
        <w:rPr>
          <w:rFonts w:asciiTheme="majorHAnsi" w:hAnsiTheme="majorHAnsi" w:cs="Calibri"/>
        </w:rPr>
      </w:pPr>
      <w:r w:rsidRPr="0042384C">
        <w:rPr>
          <w:rFonts w:asciiTheme="majorHAnsi" w:hAnsiTheme="majorHAnsi" w:cs="Calibri"/>
        </w:rPr>
        <w:t>თიზ-ზებში მოქმედ საწარმოებს არ აქვთ მფლობელობის და კონტროლის რთული სტრუქტურა</w:t>
      </w:r>
      <w:r w:rsidRPr="0042384C">
        <w:rPr>
          <w:rFonts w:asciiTheme="majorHAnsi" w:hAnsiTheme="majorHAnsi" w:cs="Calibri"/>
          <w:vertAlign w:val="superscript"/>
        </w:rPr>
        <w:footnoteReference w:id="2"/>
      </w:r>
      <w:r w:rsidRPr="0042384C">
        <w:rPr>
          <w:rFonts w:asciiTheme="majorHAnsi" w:hAnsiTheme="majorHAnsi" w:cs="Calibri"/>
        </w:rPr>
        <w:t>. საწარმოთა დამფუძნებლები უმეტესად საქართველოს ან იმ ქვეყნების მოქალაქეები და მათში რეგისტრირებული იურიდიული პირებია, რომლებთანაც საქართველოს მჭიდრო სავაჭრო ურთიერთობები</w:t>
      </w:r>
      <w:r w:rsidR="003D0D19" w:rsidRPr="0042384C">
        <w:rPr>
          <w:rFonts w:asciiTheme="majorHAnsi" w:hAnsiTheme="majorHAnsi" w:cs="Calibri"/>
        </w:rPr>
        <w:t xml:space="preserve"> აქვს</w:t>
      </w:r>
      <w:r w:rsidRPr="0042384C">
        <w:rPr>
          <w:rFonts w:asciiTheme="majorHAnsi" w:hAnsiTheme="majorHAnsi" w:cs="Calibri"/>
        </w:rPr>
        <w:t>.</w:t>
      </w:r>
    </w:p>
    <w:p w14:paraId="7D1651BB" w14:textId="77777777" w:rsidR="003A7EAA" w:rsidRPr="0042384C" w:rsidRDefault="003A7EAA" w:rsidP="003A7EAA">
      <w:pPr>
        <w:jc w:val="both"/>
        <w:rPr>
          <w:rFonts w:asciiTheme="majorHAnsi" w:hAnsiTheme="majorHAnsi" w:cs="Calibri"/>
        </w:rPr>
      </w:pPr>
    </w:p>
    <w:p w14:paraId="5C4A704A" w14:textId="77777777" w:rsidR="003A7EAA" w:rsidRPr="0042384C" w:rsidRDefault="003A7EAA" w:rsidP="003A7EAA">
      <w:pPr>
        <w:ind w:firstLine="360"/>
        <w:jc w:val="both"/>
        <w:rPr>
          <w:rFonts w:asciiTheme="majorHAnsi" w:hAnsiTheme="majorHAnsi" w:cs="Calibri"/>
          <w:i/>
        </w:rPr>
      </w:pPr>
      <w:r w:rsidRPr="0042384C">
        <w:rPr>
          <w:rFonts w:asciiTheme="majorHAnsi" w:hAnsiTheme="majorHAnsi" w:cs="Calibri"/>
          <w:i/>
        </w:rPr>
        <w:t>თიზ-ებში მოქმედ საწარმოთა დამფუძნებლები</w:t>
      </w:r>
    </w:p>
    <w:p w14:paraId="2EC29C61" w14:textId="77777777" w:rsidR="003A7EAA" w:rsidRPr="0042384C" w:rsidRDefault="003A7EAA" w:rsidP="003A7EAA">
      <w:pPr>
        <w:jc w:val="both"/>
        <w:rPr>
          <w:rFonts w:asciiTheme="majorHAnsi" w:hAnsiTheme="majorHAnsi" w:cs="Calibri"/>
          <w:b/>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955"/>
        <w:gridCol w:w="2610"/>
        <w:gridCol w:w="2636"/>
      </w:tblGrid>
      <w:tr w:rsidR="003A7EAA" w:rsidRPr="0042384C" w14:paraId="67160933" w14:textId="77777777" w:rsidTr="00367742">
        <w:trPr>
          <w:trHeight w:val="438"/>
          <w:jc w:val="center"/>
        </w:trPr>
        <w:tc>
          <w:tcPr>
            <w:tcW w:w="2955" w:type="dxa"/>
            <w:shd w:val="clear" w:color="auto" w:fill="DEEAF6" w:themeFill="accent1" w:themeFillTint="33"/>
            <w:vAlign w:val="center"/>
          </w:tcPr>
          <w:p w14:paraId="7AF5F260" w14:textId="77777777" w:rsidR="003A7EAA" w:rsidRPr="0042384C" w:rsidRDefault="003A7EAA" w:rsidP="00367742">
            <w:pPr>
              <w:jc w:val="center"/>
              <w:rPr>
                <w:rFonts w:asciiTheme="majorHAnsi" w:hAnsiTheme="majorHAnsi" w:cs="Calibri"/>
                <w:b/>
              </w:rPr>
            </w:pPr>
            <w:r w:rsidRPr="0042384C">
              <w:rPr>
                <w:rFonts w:asciiTheme="majorHAnsi" w:hAnsiTheme="majorHAnsi" w:cs="Calibri"/>
                <w:b/>
              </w:rPr>
              <w:lastRenderedPageBreak/>
              <w:t>ქვეყანა</w:t>
            </w:r>
          </w:p>
        </w:tc>
        <w:tc>
          <w:tcPr>
            <w:tcW w:w="2610" w:type="dxa"/>
            <w:shd w:val="clear" w:color="auto" w:fill="DEEAF6" w:themeFill="accent1" w:themeFillTint="33"/>
            <w:vAlign w:val="center"/>
          </w:tcPr>
          <w:p w14:paraId="48605578" w14:textId="77777777" w:rsidR="003A7EAA" w:rsidRPr="0042384C" w:rsidRDefault="003A7EAA" w:rsidP="00367742">
            <w:pPr>
              <w:jc w:val="center"/>
              <w:rPr>
                <w:rFonts w:asciiTheme="majorHAnsi" w:hAnsiTheme="majorHAnsi" w:cs="Calibri"/>
                <w:b/>
              </w:rPr>
            </w:pPr>
            <w:r w:rsidRPr="0042384C">
              <w:rPr>
                <w:rFonts w:asciiTheme="majorHAnsi" w:hAnsiTheme="majorHAnsi" w:cs="Calibri"/>
                <w:b/>
              </w:rPr>
              <w:t>ფიზიკური პირი</w:t>
            </w:r>
          </w:p>
        </w:tc>
        <w:tc>
          <w:tcPr>
            <w:tcW w:w="2636" w:type="dxa"/>
            <w:shd w:val="clear" w:color="auto" w:fill="DEEAF6" w:themeFill="accent1" w:themeFillTint="33"/>
            <w:vAlign w:val="center"/>
          </w:tcPr>
          <w:p w14:paraId="32BBBB87" w14:textId="77777777" w:rsidR="003A7EAA" w:rsidRPr="0042384C" w:rsidRDefault="003A7EAA" w:rsidP="00367742">
            <w:pPr>
              <w:jc w:val="center"/>
              <w:rPr>
                <w:rFonts w:asciiTheme="majorHAnsi" w:hAnsiTheme="majorHAnsi" w:cs="Calibri"/>
                <w:b/>
              </w:rPr>
            </w:pPr>
            <w:r w:rsidRPr="0042384C">
              <w:rPr>
                <w:rFonts w:asciiTheme="majorHAnsi" w:hAnsiTheme="majorHAnsi" w:cs="Calibri"/>
                <w:b/>
              </w:rPr>
              <w:t>იურიდიული პირი</w:t>
            </w:r>
          </w:p>
        </w:tc>
      </w:tr>
      <w:tr w:rsidR="003A7EAA" w:rsidRPr="0042384C" w14:paraId="18B9237B" w14:textId="77777777" w:rsidTr="00367742">
        <w:trPr>
          <w:trHeight w:val="440"/>
          <w:jc w:val="center"/>
        </w:trPr>
        <w:tc>
          <w:tcPr>
            <w:tcW w:w="2955" w:type="dxa"/>
            <w:vAlign w:val="center"/>
          </w:tcPr>
          <w:p w14:paraId="536BDD97" w14:textId="77777777" w:rsidR="003A7EAA" w:rsidRPr="0042384C" w:rsidRDefault="003A7EAA" w:rsidP="00017DA7">
            <w:pPr>
              <w:jc w:val="center"/>
              <w:rPr>
                <w:rFonts w:asciiTheme="majorHAnsi" w:hAnsiTheme="majorHAnsi" w:cs="Calibri"/>
              </w:rPr>
            </w:pPr>
            <w:r w:rsidRPr="0042384C">
              <w:rPr>
                <w:rFonts w:asciiTheme="majorHAnsi" w:hAnsiTheme="majorHAnsi" w:cs="Calibri"/>
              </w:rPr>
              <w:t>საქართველო</w:t>
            </w:r>
          </w:p>
        </w:tc>
        <w:tc>
          <w:tcPr>
            <w:tcW w:w="2610" w:type="dxa"/>
            <w:vAlign w:val="center"/>
          </w:tcPr>
          <w:p w14:paraId="6C20D18E"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190</w:t>
            </w:r>
          </w:p>
        </w:tc>
        <w:tc>
          <w:tcPr>
            <w:tcW w:w="2636" w:type="dxa"/>
            <w:vAlign w:val="center"/>
          </w:tcPr>
          <w:p w14:paraId="42141D69"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29</w:t>
            </w:r>
          </w:p>
        </w:tc>
      </w:tr>
      <w:tr w:rsidR="003A7EAA" w:rsidRPr="0042384C" w14:paraId="56207892" w14:textId="77777777" w:rsidTr="00367742">
        <w:trPr>
          <w:trHeight w:val="440"/>
          <w:jc w:val="center"/>
        </w:trPr>
        <w:tc>
          <w:tcPr>
            <w:tcW w:w="2955" w:type="dxa"/>
            <w:vAlign w:val="center"/>
          </w:tcPr>
          <w:p w14:paraId="1192F376" w14:textId="77777777" w:rsidR="003A7EAA" w:rsidRPr="0042384C" w:rsidRDefault="003A7EAA" w:rsidP="00017DA7">
            <w:pPr>
              <w:jc w:val="center"/>
              <w:rPr>
                <w:rFonts w:asciiTheme="majorHAnsi" w:hAnsiTheme="majorHAnsi" w:cs="Calibri"/>
              </w:rPr>
            </w:pPr>
            <w:r w:rsidRPr="0042384C">
              <w:rPr>
                <w:rFonts w:asciiTheme="majorHAnsi" w:hAnsiTheme="majorHAnsi" w:cs="Calibri"/>
              </w:rPr>
              <w:t>აზერბაიჯანი</w:t>
            </w:r>
          </w:p>
        </w:tc>
        <w:tc>
          <w:tcPr>
            <w:tcW w:w="2610" w:type="dxa"/>
            <w:vAlign w:val="center"/>
          </w:tcPr>
          <w:p w14:paraId="4D92BE2C"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92</w:t>
            </w:r>
          </w:p>
        </w:tc>
        <w:tc>
          <w:tcPr>
            <w:tcW w:w="2636" w:type="dxa"/>
            <w:vAlign w:val="center"/>
          </w:tcPr>
          <w:p w14:paraId="119682B1"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3</w:t>
            </w:r>
          </w:p>
        </w:tc>
      </w:tr>
      <w:tr w:rsidR="003A7EAA" w:rsidRPr="0042384C" w14:paraId="2BFDBCC8" w14:textId="77777777" w:rsidTr="00367742">
        <w:trPr>
          <w:trHeight w:val="440"/>
          <w:jc w:val="center"/>
        </w:trPr>
        <w:tc>
          <w:tcPr>
            <w:tcW w:w="2955" w:type="dxa"/>
            <w:vAlign w:val="center"/>
          </w:tcPr>
          <w:p w14:paraId="36BE62B0" w14:textId="77777777" w:rsidR="003A7EAA" w:rsidRPr="0042384C" w:rsidRDefault="003A7EAA" w:rsidP="00017DA7">
            <w:pPr>
              <w:jc w:val="center"/>
              <w:rPr>
                <w:rFonts w:asciiTheme="majorHAnsi" w:hAnsiTheme="majorHAnsi" w:cs="Calibri"/>
              </w:rPr>
            </w:pPr>
            <w:r w:rsidRPr="0042384C">
              <w:rPr>
                <w:rFonts w:asciiTheme="majorHAnsi" w:hAnsiTheme="majorHAnsi" w:cs="Calibri"/>
              </w:rPr>
              <w:t>უკრაინა</w:t>
            </w:r>
          </w:p>
        </w:tc>
        <w:tc>
          <w:tcPr>
            <w:tcW w:w="2610" w:type="dxa"/>
            <w:vAlign w:val="center"/>
          </w:tcPr>
          <w:p w14:paraId="40DCD81F"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83</w:t>
            </w:r>
          </w:p>
        </w:tc>
        <w:tc>
          <w:tcPr>
            <w:tcW w:w="2636" w:type="dxa"/>
            <w:vAlign w:val="center"/>
          </w:tcPr>
          <w:p w14:paraId="735C0376" w14:textId="77777777" w:rsidR="003A7EAA" w:rsidRPr="0042384C" w:rsidRDefault="003A7EAA" w:rsidP="00367742">
            <w:pPr>
              <w:jc w:val="center"/>
              <w:rPr>
                <w:rFonts w:asciiTheme="majorHAnsi" w:hAnsiTheme="majorHAnsi" w:cs="Calibri"/>
              </w:rPr>
            </w:pPr>
            <w:r w:rsidRPr="0042384C">
              <w:rPr>
                <w:rFonts w:asciiTheme="majorHAnsi" w:hAnsiTheme="majorHAnsi" w:cs="Calibri"/>
              </w:rPr>
              <w:t>--</w:t>
            </w:r>
          </w:p>
        </w:tc>
      </w:tr>
      <w:tr w:rsidR="003A7EAA" w:rsidRPr="0042384C" w14:paraId="6DD83FEA" w14:textId="77777777" w:rsidTr="00367742">
        <w:trPr>
          <w:trHeight w:val="440"/>
          <w:jc w:val="center"/>
        </w:trPr>
        <w:tc>
          <w:tcPr>
            <w:tcW w:w="2955" w:type="dxa"/>
            <w:vAlign w:val="center"/>
          </w:tcPr>
          <w:p w14:paraId="40400253" w14:textId="77777777" w:rsidR="003A7EAA" w:rsidRPr="0042384C" w:rsidRDefault="003A7EAA" w:rsidP="00017DA7">
            <w:pPr>
              <w:jc w:val="center"/>
              <w:rPr>
                <w:rFonts w:asciiTheme="majorHAnsi" w:hAnsiTheme="majorHAnsi" w:cs="Calibri"/>
              </w:rPr>
            </w:pPr>
            <w:r w:rsidRPr="0042384C">
              <w:rPr>
                <w:rFonts w:asciiTheme="majorHAnsi" w:hAnsiTheme="majorHAnsi" w:cs="Calibri"/>
              </w:rPr>
              <w:t>რუსეთი</w:t>
            </w:r>
          </w:p>
        </w:tc>
        <w:tc>
          <w:tcPr>
            <w:tcW w:w="2610" w:type="dxa"/>
            <w:vAlign w:val="center"/>
          </w:tcPr>
          <w:p w14:paraId="72A5F06F"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54</w:t>
            </w:r>
          </w:p>
        </w:tc>
        <w:tc>
          <w:tcPr>
            <w:tcW w:w="2636" w:type="dxa"/>
            <w:vAlign w:val="center"/>
          </w:tcPr>
          <w:p w14:paraId="6305BAB3" w14:textId="77777777" w:rsidR="003A7EAA" w:rsidRPr="0042384C" w:rsidRDefault="003A7EAA" w:rsidP="00367742">
            <w:pPr>
              <w:jc w:val="center"/>
              <w:rPr>
                <w:rFonts w:asciiTheme="majorHAnsi" w:hAnsiTheme="majorHAnsi" w:cs="Calibri"/>
              </w:rPr>
            </w:pPr>
            <w:r w:rsidRPr="0042384C">
              <w:rPr>
                <w:rFonts w:asciiTheme="majorHAnsi" w:hAnsiTheme="majorHAnsi" w:cs="Calibri"/>
              </w:rPr>
              <w:t>--</w:t>
            </w:r>
          </w:p>
        </w:tc>
      </w:tr>
      <w:tr w:rsidR="003A7EAA" w:rsidRPr="0042384C" w14:paraId="46B6BB1B" w14:textId="77777777" w:rsidTr="00367742">
        <w:trPr>
          <w:trHeight w:val="350"/>
          <w:jc w:val="center"/>
        </w:trPr>
        <w:tc>
          <w:tcPr>
            <w:tcW w:w="2955" w:type="dxa"/>
            <w:shd w:val="clear" w:color="auto" w:fill="FFFFFF" w:themeFill="background1"/>
            <w:vAlign w:val="center"/>
          </w:tcPr>
          <w:p w14:paraId="1C18DA83" w14:textId="77777777" w:rsidR="003A7EAA" w:rsidRPr="0042384C" w:rsidRDefault="003A7EAA" w:rsidP="00017DA7">
            <w:pPr>
              <w:jc w:val="center"/>
              <w:rPr>
                <w:rFonts w:asciiTheme="majorHAnsi" w:hAnsiTheme="majorHAnsi" w:cs="Calibri"/>
              </w:rPr>
            </w:pPr>
            <w:r w:rsidRPr="0042384C">
              <w:rPr>
                <w:rFonts w:asciiTheme="majorHAnsi" w:hAnsiTheme="majorHAnsi" w:cs="Calibri"/>
              </w:rPr>
              <w:t>თურქეთი</w:t>
            </w:r>
          </w:p>
        </w:tc>
        <w:tc>
          <w:tcPr>
            <w:tcW w:w="2610" w:type="dxa"/>
            <w:shd w:val="clear" w:color="auto" w:fill="FFFFFF" w:themeFill="background1"/>
            <w:vAlign w:val="center"/>
          </w:tcPr>
          <w:p w14:paraId="008399A7"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36</w:t>
            </w:r>
          </w:p>
        </w:tc>
        <w:tc>
          <w:tcPr>
            <w:tcW w:w="2636" w:type="dxa"/>
            <w:shd w:val="clear" w:color="auto" w:fill="FFFFFF" w:themeFill="background1"/>
            <w:vAlign w:val="center"/>
          </w:tcPr>
          <w:p w14:paraId="53AA48C6" w14:textId="77777777" w:rsidR="003A7EAA" w:rsidRPr="0042384C" w:rsidRDefault="003A7EAA" w:rsidP="00367742">
            <w:pPr>
              <w:jc w:val="center"/>
              <w:rPr>
                <w:rFonts w:asciiTheme="majorHAnsi" w:hAnsiTheme="majorHAnsi" w:cs="Calibri"/>
              </w:rPr>
            </w:pPr>
            <w:r w:rsidRPr="0042384C">
              <w:rPr>
                <w:rFonts w:asciiTheme="majorHAnsi" w:hAnsiTheme="majorHAnsi" w:cs="Calibri"/>
              </w:rPr>
              <w:t>--</w:t>
            </w:r>
          </w:p>
        </w:tc>
      </w:tr>
    </w:tbl>
    <w:p w14:paraId="6A38BD2F" w14:textId="77777777" w:rsidR="003A7EAA" w:rsidRPr="0042384C" w:rsidRDefault="003A7EAA" w:rsidP="003A7EAA">
      <w:pPr>
        <w:jc w:val="both"/>
        <w:rPr>
          <w:rFonts w:asciiTheme="majorHAnsi" w:hAnsiTheme="majorHAnsi" w:cs="Calibri"/>
        </w:rPr>
      </w:pPr>
    </w:p>
    <w:p w14:paraId="36596484" w14:textId="6D7DBD00" w:rsidR="003A7EAA" w:rsidRPr="0042384C" w:rsidRDefault="003A7EAA" w:rsidP="003F7CDA">
      <w:pPr>
        <w:jc w:val="both"/>
        <w:rPr>
          <w:rFonts w:asciiTheme="majorHAnsi" w:hAnsiTheme="majorHAnsi" w:cs="Calibri"/>
        </w:rPr>
      </w:pPr>
    </w:p>
    <w:p w14:paraId="117FA5FF" w14:textId="396B6150" w:rsidR="003A7EAA" w:rsidRPr="0042384C" w:rsidRDefault="003A7EAA" w:rsidP="003F7CDA">
      <w:pPr>
        <w:ind w:firstLine="360"/>
        <w:jc w:val="both"/>
        <w:rPr>
          <w:rFonts w:asciiTheme="majorHAnsi" w:hAnsiTheme="majorHAnsi" w:cs="Calibri"/>
        </w:rPr>
      </w:pPr>
      <w:r w:rsidRPr="0042384C">
        <w:rPr>
          <w:rFonts w:asciiTheme="majorHAnsi" w:hAnsiTheme="majorHAnsi" w:cs="Calibri"/>
        </w:rPr>
        <w:t>თიზ-ების ორგანიზატორი კომპანიის მიერ გაიცემა სხვადასხვა ლიცენზი</w:t>
      </w:r>
      <w:r w:rsidR="001922B9">
        <w:rPr>
          <w:rFonts w:asciiTheme="majorHAnsi" w:hAnsiTheme="majorHAnsi" w:cs="Calibri"/>
        </w:rPr>
        <w:t>ა</w:t>
      </w:r>
      <w:r w:rsidRPr="0042384C">
        <w:rPr>
          <w:rFonts w:asciiTheme="majorHAnsi" w:hAnsiTheme="majorHAnsi" w:cs="Calibri"/>
        </w:rPr>
        <w:t>, მათ შორის, სავაჭრო, სამრეწველო და მომსახურების სფეროში. თიზ-ებში მოქმედი საწარმოების უმეტესობა ახორციელებს საქონლით ვაჭრობას.</w:t>
      </w:r>
    </w:p>
    <w:p w14:paraId="1F86C285" w14:textId="27FC9082" w:rsidR="003A7EAA" w:rsidRPr="0042384C" w:rsidRDefault="003A7EAA" w:rsidP="003F7CDA">
      <w:pPr>
        <w:ind w:firstLine="360"/>
        <w:jc w:val="both"/>
        <w:rPr>
          <w:rFonts w:asciiTheme="majorHAnsi" w:hAnsiTheme="majorHAnsi" w:cs="Calibri"/>
        </w:rPr>
      </w:pPr>
      <w:r w:rsidRPr="0042384C">
        <w:rPr>
          <w:rFonts w:asciiTheme="majorHAnsi" w:hAnsiTheme="majorHAnsi" w:cs="Calibri"/>
        </w:rPr>
        <w:t>თიზ-ის ტერიტორიაზე საქართველოში წარმოებული საქონლის შეტანა, ისევე როგორც თიზ-დან საქონლის სხვა ქვეყანაში გატანა განიხილება, როგორც საქონლის ექსპორტი. ასევე, თიზ-ში წარმოებული საქონელი, რომელის იმპორტიც ხდება, მიუხედავად მისი მოცულობისა, იბეგრება მხოლოდ დამატებული ღირებულების გადასახადით, რაც განაპირობებს სავაჭრო ლიცენზიების მიმზიდველობას.</w:t>
      </w:r>
    </w:p>
    <w:p w14:paraId="0FE13785" w14:textId="77777777" w:rsidR="003A7EAA" w:rsidRPr="0042384C" w:rsidRDefault="003A7EAA" w:rsidP="003A7EAA">
      <w:pPr>
        <w:ind w:firstLine="360"/>
        <w:jc w:val="both"/>
        <w:rPr>
          <w:rFonts w:asciiTheme="majorHAnsi" w:hAnsiTheme="majorHAnsi" w:cs="Calibri"/>
        </w:rPr>
      </w:pPr>
      <w:r w:rsidRPr="0042384C">
        <w:rPr>
          <w:rFonts w:asciiTheme="majorHAnsi" w:hAnsiTheme="majorHAnsi" w:cs="Calibri"/>
        </w:rPr>
        <w:t>თიზ-ში დასაშვებია ნებისმიერი საქონლის წარმოება, გადამუშავება და ვაჭრობა, გარდა შემდეგი პროდუქციისა:</w:t>
      </w:r>
    </w:p>
    <w:p w14:paraId="4E1B9C91" w14:textId="77777777" w:rsidR="003A7EAA" w:rsidRPr="0042384C" w:rsidRDefault="003A7EAA" w:rsidP="003A7EAA">
      <w:pPr>
        <w:rPr>
          <w:rFonts w:asciiTheme="majorHAnsi" w:hAnsiTheme="majorHAnsi" w:cs="Calibri"/>
        </w:rPr>
      </w:pPr>
    </w:p>
    <w:p w14:paraId="145249CF" w14:textId="18F0C2BB" w:rsidR="003A7EAA" w:rsidRPr="0042384C" w:rsidRDefault="001922B9" w:rsidP="003A7EAA">
      <w:pPr>
        <w:pStyle w:val="ListParagraph"/>
        <w:numPr>
          <w:ilvl w:val="0"/>
          <w:numId w:val="3"/>
        </w:numPr>
        <w:rPr>
          <w:rFonts w:asciiTheme="majorHAnsi" w:hAnsiTheme="majorHAnsi" w:cs="Calibri"/>
        </w:rPr>
      </w:pPr>
      <w:r>
        <w:rPr>
          <w:rFonts w:asciiTheme="majorHAnsi" w:hAnsiTheme="majorHAnsi" w:cs="Calibri"/>
        </w:rPr>
        <w:t>იარაღი და საბრძოლო მასალა;</w:t>
      </w:r>
    </w:p>
    <w:p w14:paraId="33E64997" w14:textId="101A4EB3" w:rsidR="003A7EAA" w:rsidRPr="0042384C" w:rsidRDefault="003A7EAA" w:rsidP="003A7EAA">
      <w:pPr>
        <w:pStyle w:val="ListParagraph"/>
        <w:numPr>
          <w:ilvl w:val="0"/>
          <w:numId w:val="3"/>
        </w:numPr>
        <w:rPr>
          <w:rFonts w:asciiTheme="majorHAnsi" w:hAnsiTheme="majorHAnsi" w:cs="Calibri"/>
        </w:rPr>
      </w:pPr>
      <w:r w:rsidRPr="0042384C">
        <w:rPr>
          <w:rFonts w:asciiTheme="majorHAnsi" w:hAnsiTheme="majorHAnsi" w:cs="Calibri"/>
        </w:rPr>
        <w:t>ბირთვული და რადიოაქტიური ნივთიერე</w:t>
      </w:r>
      <w:r w:rsidR="001922B9">
        <w:rPr>
          <w:rFonts w:asciiTheme="majorHAnsi" w:hAnsiTheme="majorHAnsi" w:cs="Calibri"/>
        </w:rPr>
        <w:t>ბები;</w:t>
      </w:r>
    </w:p>
    <w:p w14:paraId="24A1F2F5" w14:textId="6C7162FD" w:rsidR="003A7EAA" w:rsidRPr="0042384C" w:rsidRDefault="003A7EAA" w:rsidP="003A7EAA">
      <w:pPr>
        <w:pStyle w:val="ListParagraph"/>
        <w:numPr>
          <w:ilvl w:val="0"/>
          <w:numId w:val="3"/>
        </w:numPr>
        <w:rPr>
          <w:rFonts w:asciiTheme="majorHAnsi" w:hAnsiTheme="majorHAnsi" w:cs="Calibri"/>
        </w:rPr>
      </w:pPr>
      <w:r w:rsidRPr="0042384C">
        <w:rPr>
          <w:rFonts w:asciiTheme="majorHAnsi" w:hAnsiTheme="majorHAnsi" w:cs="Calibri"/>
        </w:rPr>
        <w:t>ნარკოტიკ</w:t>
      </w:r>
      <w:r w:rsidR="001922B9">
        <w:rPr>
          <w:rFonts w:asciiTheme="majorHAnsi" w:hAnsiTheme="majorHAnsi" w:cs="Calibri"/>
        </w:rPr>
        <w:t>ული და ფსიქოტროპული საშუალებები;</w:t>
      </w:r>
    </w:p>
    <w:p w14:paraId="73F27752" w14:textId="77777777" w:rsidR="003A7EAA" w:rsidRPr="0042384C" w:rsidRDefault="003A7EAA" w:rsidP="003A7EAA">
      <w:pPr>
        <w:pStyle w:val="ListParagraph"/>
        <w:numPr>
          <w:ilvl w:val="0"/>
          <w:numId w:val="3"/>
        </w:numPr>
        <w:rPr>
          <w:rFonts w:asciiTheme="majorHAnsi" w:hAnsiTheme="majorHAnsi" w:cs="Calibri"/>
        </w:rPr>
      </w:pPr>
      <w:r w:rsidRPr="0042384C">
        <w:rPr>
          <w:rFonts w:asciiTheme="majorHAnsi" w:hAnsiTheme="majorHAnsi" w:cs="Calibri"/>
        </w:rPr>
        <w:t>თამბაქოს ნაწარმი ან/და თამბაქოს ნედლეული.</w:t>
      </w:r>
    </w:p>
    <w:p w14:paraId="37D86838" w14:textId="77777777" w:rsidR="003A7EAA" w:rsidRPr="0042384C" w:rsidRDefault="003A7EAA" w:rsidP="003A7EAA">
      <w:pPr>
        <w:jc w:val="both"/>
        <w:rPr>
          <w:rFonts w:asciiTheme="majorHAnsi" w:hAnsiTheme="majorHAnsi" w:cs="Calibri"/>
        </w:rPr>
      </w:pPr>
    </w:p>
    <w:p w14:paraId="042307AF" w14:textId="25770D05" w:rsidR="003A7EAA" w:rsidRPr="0042384C" w:rsidRDefault="003A7EAA" w:rsidP="003A7EAA">
      <w:pPr>
        <w:ind w:firstLine="360"/>
        <w:jc w:val="both"/>
        <w:rPr>
          <w:rFonts w:asciiTheme="majorHAnsi" w:hAnsiTheme="majorHAnsi" w:cs="Calibri"/>
          <w:i/>
        </w:rPr>
      </w:pPr>
      <w:r w:rsidRPr="0042384C">
        <w:rPr>
          <w:rFonts w:asciiTheme="majorHAnsi" w:hAnsiTheme="majorHAnsi" w:cs="Calibri"/>
          <w:i/>
        </w:rPr>
        <w:t>თიზ-ებში მოქმედ საწარმოთა საქმიანობა</w:t>
      </w:r>
    </w:p>
    <w:p w14:paraId="4EEA8829" w14:textId="77777777" w:rsidR="003A7EAA" w:rsidRPr="0042384C" w:rsidRDefault="003A7EAA" w:rsidP="003A7EAA">
      <w:pPr>
        <w:rPr>
          <w:rFonts w:asciiTheme="majorHAnsi" w:hAnsiTheme="majorHAnsi" w:cs="Calibri"/>
        </w:rPr>
      </w:pPr>
    </w:p>
    <w:tbl>
      <w:tblPr>
        <w:tblW w:w="0" w:type="auto"/>
        <w:tblInd w:w="34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4153"/>
        <w:gridCol w:w="4127"/>
      </w:tblGrid>
      <w:tr w:rsidR="003A7EAA" w:rsidRPr="0042384C" w14:paraId="625A1772" w14:textId="77777777" w:rsidTr="00367742">
        <w:trPr>
          <w:trHeight w:val="519"/>
        </w:trPr>
        <w:tc>
          <w:tcPr>
            <w:tcW w:w="4153" w:type="dxa"/>
            <w:shd w:val="clear" w:color="auto" w:fill="DEEAF6" w:themeFill="accent1" w:themeFillTint="33"/>
            <w:vAlign w:val="center"/>
          </w:tcPr>
          <w:p w14:paraId="16766098" w14:textId="77777777" w:rsidR="003A7EAA" w:rsidRPr="0042384C" w:rsidRDefault="003A7EAA" w:rsidP="00367742">
            <w:pPr>
              <w:jc w:val="center"/>
              <w:rPr>
                <w:rFonts w:asciiTheme="majorHAnsi" w:hAnsiTheme="majorHAnsi" w:cs="Calibri"/>
                <w:b/>
              </w:rPr>
            </w:pPr>
            <w:r w:rsidRPr="0042384C">
              <w:rPr>
                <w:rFonts w:asciiTheme="majorHAnsi" w:hAnsiTheme="majorHAnsi" w:cs="Calibri"/>
                <w:b/>
              </w:rPr>
              <w:t>საქმიანობა</w:t>
            </w:r>
          </w:p>
        </w:tc>
        <w:tc>
          <w:tcPr>
            <w:tcW w:w="4127" w:type="dxa"/>
            <w:shd w:val="clear" w:color="auto" w:fill="DEEAF6" w:themeFill="accent1" w:themeFillTint="33"/>
            <w:vAlign w:val="center"/>
          </w:tcPr>
          <w:p w14:paraId="56645693" w14:textId="77777777" w:rsidR="003A7EAA" w:rsidRPr="0042384C" w:rsidRDefault="003A7EAA" w:rsidP="00367742">
            <w:pPr>
              <w:jc w:val="center"/>
              <w:rPr>
                <w:rFonts w:asciiTheme="majorHAnsi" w:hAnsiTheme="majorHAnsi" w:cs="Calibri"/>
                <w:b/>
              </w:rPr>
            </w:pPr>
            <w:r w:rsidRPr="0042384C">
              <w:rPr>
                <w:rFonts w:asciiTheme="majorHAnsi" w:hAnsiTheme="majorHAnsi" w:cs="Calibri"/>
                <w:b/>
              </w:rPr>
              <w:t>რაოდენობა</w:t>
            </w:r>
          </w:p>
        </w:tc>
      </w:tr>
      <w:tr w:rsidR="003A7EAA" w:rsidRPr="0042384C" w14:paraId="7B71B2B8" w14:textId="77777777" w:rsidTr="00367742">
        <w:trPr>
          <w:trHeight w:val="440"/>
        </w:trPr>
        <w:tc>
          <w:tcPr>
            <w:tcW w:w="4153" w:type="dxa"/>
            <w:vAlign w:val="center"/>
          </w:tcPr>
          <w:p w14:paraId="35426CA5" w14:textId="77777777" w:rsidR="003A7EAA" w:rsidRPr="0042384C" w:rsidRDefault="003A7EAA" w:rsidP="00C63D65">
            <w:pPr>
              <w:jc w:val="center"/>
              <w:rPr>
                <w:rFonts w:asciiTheme="majorHAnsi" w:hAnsiTheme="majorHAnsi" w:cs="Calibri"/>
              </w:rPr>
            </w:pPr>
            <w:r w:rsidRPr="0042384C">
              <w:rPr>
                <w:rFonts w:asciiTheme="majorHAnsi" w:hAnsiTheme="majorHAnsi" w:cs="Calibri"/>
              </w:rPr>
              <w:t>ვაჭრობა</w:t>
            </w:r>
          </w:p>
        </w:tc>
        <w:tc>
          <w:tcPr>
            <w:tcW w:w="4127" w:type="dxa"/>
            <w:vAlign w:val="center"/>
          </w:tcPr>
          <w:p w14:paraId="504ED5ED"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225</w:t>
            </w:r>
          </w:p>
        </w:tc>
      </w:tr>
      <w:tr w:rsidR="003A7EAA" w:rsidRPr="0042384C" w14:paraId="22CD451C" w14:textId="77777777" w:rsidTr="00367742">
        <w:trPr>
          <w:trHeight w:val="521"/>
        </w:trPr>
        <w:tc>
          <w:tcPr>
            <w:tcW w:w="4153" w:type="dxa"/>
            <w:vAlign w:val="center"/>
          </w:tcPr>
          <w:p w14:paraId="53E243F0" w14:textId="77777777" w:rsidR="003A7EAA" w:rsidRPr="0042384C" w:rsidRDefault="003A7EAA" w:rsidP="00C63D65">
            <w:pPr>
              <w:jc w:val="center"/>
              <w:rPr>
                <w:rFonts w:asciiTheme="majorHAnsi" w:hAnsiTheme="majorHAnsi" w:cs="Calibri"/>
              </w:rPr>
            </w:pPr>
            <w:r w:rsidRPr="0042384C">
              <w:rPr>
                <w:rFonts w:asciiTheme="majorHAnsi" w:hAnsiTheme="majorHAnsi" w:cs="Calibri"/>
              </w:rPr>
              <w:t>მომსახურება</w:t>
            </w:r>
          </w:p>
        </w:tc>
        <w:tc>
          <w:tcPr>
            <w:tcW w:w="4127" w:type="dxa"/>
            <w:vAlign w:val="center"/>
          </w:tcPr>
          <w:p w14:paraId="2A553B36"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94</w:t>
            </w:r>
          </w:p>
        </w:tc>
      </w:tr>
      <w:tr w:rsidR="003A7EAA" w:rsidRPr="0042384C" w14:paraId="402C2BE0" w14:textId="77777777" w:rsidTr="00367742">
        <w:trPr>
          <w:trHeight w:val="539"/>
        </w:trPr>
        <w:tc>
          <w:tcPr>
            <w:tcW w:w="4153" w:type="dxa"/>
            <w:vAlign w:val="center"/>
          </w:tcPr>
          <w:p w14:paraId="37E10961" w14:textId="77777777" w:rsidR="003A7EAA" w:rsidRPr="0042384C" w:rsidRDefault="003A7EAA" w:rsidP="00C63D65">
            <w:pPr>
              <w:jc w:val="center"/>
              <w:rPr>
                <w:rFonts w:asciiTheme="majorHAnsi" w:hAnsiTheme="majorHAnsi" w:cs="Calibri"/>
              </w:rPr>
            </w:pPr>
            <w:r w:rsidRPr="0042384C">
              <w:rPr>
                <w:rFonts w:asciiTheme="majorHAnsi" w:hAnsiTheme="majorHAnsi" w:cs="Calibri"/>
              </w:rPr>
              <w:t>გადამუშავება-წარმოება</w:t>
            </w:r>
          </w:p>
        </w:tc>
        <w:tc>
          <w:tcPr>
            <w:tcW w:w="4127" w:type="dxa"/>
            <w:vAlign w:val="center"/>
          </w:tcPr>
          <w:p w14:paraId="4F31AFA5"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62</w:t>
            </w:r>
          </w:p>
        </w:tc>
      </w:tr>
      <w:tr w:rsidR="003A7EAA" w:rsidRPr="0042384C" w14:paraId="4C738B5E" w14:textId="77777777" w:rsidTr="00367742">
        <w:trPr>
          <w:trHeight w:val="530"/>
        </w:trPr>
        <w:tc>
          <w:tcPr>
            <w:tcW w:w="4153" w:type="dxa"/>
            <w:vAlign w:val="center"/>
          </w:tcPr>
          <w:p w14:paraId="799C0F88" w14:textId="77777777" w:rsidR="003A7EAA" w:rsidRPr="0042384C" w:rsidRDefault="003A7EAA" w:rsidP="00C63D65">
            <w:pPr>
              <w:jc w:val="center"/>
              <w:rPr>
                <w:rFonts w:asciiTheme="majorHAnsi" w:hAnsiTheme="majorHAnsi" w:cs="Calibri"/>
              </w:rPr>
            </w:pPr>
            <w:r w:rsidRPr="0042384C">
              <w:rPr>
                <w:rFonts w:asciiTheme="majorHAnsi" w:hAnsiTheme="majorHAnsi" w:cs="Calibri"/>
              </w:rPr>
              <w:t>სხვა</w:t>
            </w:r>
          </w:p>
        </w:tc>
        <w:tc>
          <w:tcPr>
            <w:tcW w:w="4127" w:type="dxa"/>
            <w:vAlign w:val="center"/>
          </w:tcPr>
          <w:p w14:paraId="730CC878" w14:textId="77777777" w:rsidR="003A7EAA" w:rsidRPr="0042384C" w:rsidRDefault="003A7EAA" w:rsidP="00367742">
            <w:pPr>
              <w:jc w:val="center"/>
              <w:rPr>
                <w:rFonts w:asciiTheme="majorHAnsi" w:hAnsiTheme="majorHAnsi" w:cs="Calibri"/>
                <w:color w:val="000000"/>
              </w:rPr>
            </w:pPr>
            <w:r w:rsidRPr="0042384C">
              <w:rPr>
                <w:rFonts w:asciiTheme="majorHAnsi" w:hAnsiTheme="majorHAnsi" w:cs="Calibri"/>
                <w:color w:val="000000"/>
              </w:rPr>
              <w:t>234</w:t>
            </w:r>
          </w:p>
        </w:tc>
      </w:tr>
      <w:tr w:rsidR="003A7EAA" w:rsidRPr="0042384C" w14:paraId="78A3165F" w14:textId="77777777" w:rsidTr="00C63D65">
        <w:trPr>
          <w:trHeight w:val="440"/>
        </w:trPr>
        <w:tc>
          <w:tcPr>
            <w:tcW w:w="4153" w:type="dxa"/>
            <w:shd w:val="clear" w:color="auto" w:fill="F2F2F2" w:themeFill="background1" w:themeFillShade="F2"/>
            <w:vAlign w:val="center"/>
          </w:tcPr>
          <w:p w14:paraId="07B68505" w14:textId="77777777" w:rsidR="003A7EAA" w:rsidRPr="0042384C" w:rsidRDefault="00C63D65" w:rsidP="00367742">
            <w:pPr>
              <w:jc w:val="center"/>
              <w:rPr>
                <w:rFonts w:asciiTheme="majorHAnsi" w:hAnsiTheme="majorHAnsi" w:cs="Calibri"/>
                <w:b/>
              </w:rPr>
            </w:pPr>
            <w:r w:rsidRPr="0042384C">
              <w:rPr>
                <w:rFonts w:asciiTheme="majorHAnsi" w:hAnsiTheme="majorHAnsi" w:cs="Calibri"/>
                <w:b/>
              </w:rPr>
              <w:t>ჯამ</w:t>
            </w:r>
            <w:r w:rsidR="003A7EAA" w:rsidRPr="0042384C">
              <w:rPr>
                <w:rFonts w:asciiTheme="majorHAnsi" w:hAnsiTheme="majorHAnsi" w:cs="Calibri"/>
                <w:b/>
              </w:rPr>
              <w:t>ი</w:t>
            </w:r>
          </w:p>
        </w:tc>
        <w:tc>
          <w:tcPr>
            <w:tcW w:w="4127" w:type="dxa"/>
            <w:shd w:val="clear" w:color="auto" w:fill="F2F2F2" w:themeFill="background1" w:themeFillShade="F2"/>
            <w:vAlign w:val="center"/>
          </w:tcPr>
          <w:p w14:paraId="0019CB90" w14:textId="77777777" w:rsidR="003A7EAA" w:rsidRPr="0042384C" w:rsidRDefault="003A7EAA" w:rsidP="00367742">
            <w:pPr>
              <w:jc w:val="center"/>
              <w:rPr>
                <w:rFonts w:asciiTheme="majorHAnsi" w:hAnsiTheme="majorHAnsi" w:cs="Calibri"/>
                <w:b/>
                <w:bCs/>
                <w:color w:val="000000"/>
              </w:rPr>
            </w:pPr>
            <w:r w:rsidRPr="0042384C">
              <w:rPr>
                <w:rFonts w:asciiTheme="majorHAnsi" w:hAnsiTheme="majorHAnsi" w:cs="Calibri"/>
                <w:b/>
                <w:bCs/>
                <w:color w:val="000000"/>
              </w:rPr>
              <w:t>615</w:t>
            </w:r>
          </w:p>
        </w:tc>
      </w:tr>
    </w:tbl>
    <w:p w14:paraId="239E2A29" w14:textId="77777777" w:rsidR="003A7EAA" w:rsidRPr="0042384C" w:rsidRDefault="003A7EAA" w:rsidP="003A7EAA">
      <w:pPr>
        <w:rPr>
          <w:rFonts w:asciiTheme="majorHAnsi" w:hAnsiTheme="majorHAnsi" w:cs="Calibri"/>
        </w:rPr>
      </w:pPr>
    </w:p>
    <w:p w14:paraId="4F3A3FED" w14:textId="2C5B87C8" w:rsidR="003A7EAA" w:rsidRPr="0042384C" w:rsidRDefault="003A7EAA" w:rsidP="003A7EAA">
      <w:pPr>
        <w:jc w:val="both"/>
        <w:rPr>
          <w:rFonts w:asciiTheme="majorHAnsi" w:hAnsiTheme="majorHAnsi" w:cs="Calibri"/>
        </w:rPr>
      </w:pPr>
    </w:p>
    <w:p w14:paraId="5E8197DC" w14:textId="54EF74FA" w:rsidR="003A7EAA" w:rsidRPr="0042384C" w:rsidRDefault="003A7EAA" w:rsidP="003F7CDA">
      <w:pPr>
        <w:ind w:firstLine="360"/>
        <w:jc w:val="both"/>
        <w:rPr>
          <w:rFonts w:asciiTheme="majorHAnsi" w:hAnsiTheme="majorHAnsi" w:cs="Calibri"/>
        </w:rPr>
      </w:pPr>
      <w:r w:rsidRPr="0042384C">
        <w:rPr>
          <w:rFonts w:asciiTheme="majorHAnsi" w:hAnsiTheme="majorHAnsi" w:cs="Calibri"/>
        </w:rPr>
        <w:t>1.3</w:t>
      </w:r>
      <w:r w:rsidR="001922B9">
        <w:rPr>
          <w:rFonts w:asciiTheme="majorHAnsi" w:hAnsiTheme="majorHAnsi" w:cs="Calibri"/>
        </w:rPr>
        <w:t>.</w:t>
      </w:r>
      <w:r w:rsidRPr="0042384C">
        <w:rPr>
          <w:rFonts w:asciiTheme="majorHAnsi" w:hAnsiTheme="majorHAnsi" w:cs="Calibri"/>
        </w:rPr>
        <w:t xml:space="preserve"> თანდაყოლილი რისკები</w:t>
      </w:r>
    </w:p>
    <w:p w14:paraId="2CABBDFF" w14:textId="79830299" w:rsidR="003A7EAA" w:rsidRPr="0042384C" w:rsidRDefault="003A7EAA" w:rsidP="003A7EAA">
      <w:pPr>
        <w:ind w:firstLine="360"/>
        <w:jc w:val="both"/>
        <w:rPr>
          <w:rFonts w:asciiTheme="majorHAnsi" w:hAnsiTheme="majorHAnsi" w:cs="Calibri"/>
        </w:rPr>
      </w:pPr>
      <w:r w:rsidRPr="0042384C">
        <w:rPr>
          <w:rFonts w:asciiTheme="majorHAnsi" w:hAnsiTheme="majorHAnsi" w:cs="Calibri"/>
        </w:rPr>
        <w:lastRenderedPageBreak/>
        <w:t>თიზ-ები ქმნის არაერთ შესაძლებლობას ლეგიტიმური ბიზნესის წარმოებისთვის, თუმცა შეიძლება იმავდროულად გახდეს მოწყვლადობის წყარო, რომლის ბოროტად გამოყენება შეიძლება ფულის გათეთრების ან ტერორიზმის დაფინანსებისთვის. თიზ-ებთან დაკავშირებული თანდაყოლილი რისკების შეფასება განხორციელდა ისეთი რისკფაქტორების საფუძველზე</w:t>
      </w:r>
      <w:r w:rsidR="001922B9">
        <w:rPr>
          <w:rFonts w:asciiTheme="majorHAnsi" w:hAnsiTheme="majorHAnsi" w:cs="Calibri"/>
        </w:rPr>
        <w:t>,</w:t>
      </w:r>
      <w:r w:rsidRPr="0042384C">
        <w:rPr>
          <w:rFonts w:asciiTheme="majorHAnsi" w:hAnsiTheme="majorHAnsi" w:cs="Calibri"/>
        </w:rPr>
        <w:t xml:space="preserve"> როგორიცაა:</w:t>
      </w:r>
    </w:p>
    <w:p w14:paraId="53A4A8C4" w14:textId="77777777" w:rsidR="003A7EAA" w:rsidRPr="0042384C" w:rsidRDefault="003A7EAA" w:rsidP="003A7EAA">
      <w:pPr>
        <w:ind w:firstLine="360"/>
        <w:jc w:val="both"/>
        <w:rPr>
          <w:rFonts w:asciiTheme="majorHAnsi" w:hAnsiTheme="majorHAnsi" w:cs="Calibri"/>
        </w:rPr>
      </w:pPr>
    </w:p>
    <w:p w14:paraId="6EEB4BD4" w14:textId="688940A7" w:rsidR="003A7EAA" w:rsidRPr="0042384C" w:rsidRDefault="003A7EAA" w:rsidP="003A7EAA">
      <w:pPr>
        <w:pStyle w:val="ListParagraph"/>
        <w:numPr>
          <w:ilvl w:val="0"/>
          <w:numId w:val="6"/>
        </w:numPr>
        <w:jc w:val="both"/>
        <w:rPr>
          <w:rFonts w:asciiTheme="majorHAnsi" w:hAnsiTheme="majorHAnsi" w:cs="Calibri"/>
        </w:rPr>
      </w:pPr>
      <w:r w:rsidRPr="0042384C">
        <w:rPr>
          <w:rFonts w:asciiTheme="majorHAnsi" w:hAnsiTheme="majorHAnsi" w:cs="Calibri"/>
        </w:rPr>
        <w:t>თიზ-ებში მოქმედი საწარმოების ბრუნვა</w:t>
      </w:r>
      <w:r w:rsidR="001922B9">
        <w:rPr>
          <w:rFonts w:asciiTheme="majorHAnsi" w:hAnsiTheme="majorHAnsi" w:cs="Calibri"/>
        </w:rPr>
        <w:t>;</w:t>
      </w:r>
    </w:p>
    <w:p w14:paraId="53C9020B" w14:textId="40483FD6" w:rsidR="003A7EAA" w:rsidRPr="0042384C" w:rsidRDefault="003A7EAA" w:rsidP="003A7EAA">
      <w:pPr>
        <w:pStyle w:val="ListParagraph"/>
        <w:numPr>
          <w:ilvl w:val="0"/>
          <w:numId w:val="6"/>
        </w:numPr>
        <w:jc w:val="both"/>
        <w:rPr>
          <w:rFonts w:asciiTheme="majorHAnsi" w:hAnsiTheme="majorHAnsi" w:cs="Calibri"/>
        </w:rPr>
      </w:pPr>
      <w:r w:rsidRPr="0042384C">
        <w:rPr>
          <w:rFonts w:asciiTheme="majorHAnsi" w:hAnsiTheme="majorHAnsi" w:cs="Calibri"/>
        </w:rPr>
        <w:t>თიზ-ებზე რეგულირების/ზედამხედველობის ხარისხი</w:t>
      </w:r>
      <w:r w:rsidR="001922B9">
        <w:rPr>
          <w:rFonts w:asciiTheme="majorHAnsi" w:hAnsiTheme="majorHAnsi" w:cs="Calibri"/>
        </w:rPr>
        <w:t>;</w:t>
      </w:r>
    </w:p>
    <w:p w14:paraId="61604DEA" w14:textId="7661F27C" w:rsidR="003A7EAA" w:rsidRPr="0042384C" w:rsidRDefault="003A7EAA" w:rsidP="003A7EAA">
      <w:pPr>
        <w:pStyle w:val="ListParagraph"/>
        <w:numPr>
          <w:ilvl w:val="0"/>
          <w:numId w:val="6"/>
        </w:numPr>
        <w:jc w:val="both"/>
        <w:rPr>
          <w:rFonts w:asciiTheme="majorHAnsi" w:hAnsiTheme="majorHAnsi" w:cs="Calibri"/>
        </w:rPr>
      </w:pPr>
      <w:r w:rsidRPr="0042384C">
        <w:rPr>
          <w:rFonts w:asciiTheme="majorHAnsi" w:hAnsiTheme="majorHAnsi" w:cs="Calibri"/>
        </w:rPr>
        <w:t>თიზ-ებში საქონელბრუნვაზე საბაჟო კონტროლი</w:t>
      </w:r>
      <w:r w:rsidR="001922B9">
        <w:rPr>
          <w:rFonts w:asciiTheme="majorHAnsi" w:hAnsiTheme="majorHAnsi" w:cs="Calibri"/>
        </w:rPr>
        <w:t>;</w:t>
      </w:r>
    </w:p>
    <w:p w14:paraId="4699F5C1" w14:textId="77B43B2E" w:rsidR="003A7EAA" w:rsidRPr="0042384C" w:rsidRDefault="003A7EAA" w:rsidP="003A7EAA">
      <w:pPr>
        <w:pStyle w:val="ListParagraph"/>
        <w:numPr>
          <w:ilvl w:val="0"/>
          <w:numId w:val="6"/>
        </w:numPr>
        <w:jc w:val="both"/>
        <w:rPr>
          <w:rFonts w:asciiTheme="majorHAnsi" w:hAnsiTheme="majorHAnsi" w:cs="Calibri"/>
        </w:rPr>
      </w:pPr>
      <w:r w:rsidRPr="0042384C">
        <w:rPr>
          <w:rFonts w:asciiTheme="majorHAnsi" w:hAnsiTheme="majorHAnsi" w:cs="Calibri"/>
        </w:rPr>
        <w:t>თი-ზებში განხორციელებული ოპერაციების მონიტორინგი</w:t>
      </w:r>
      <w:r w:rsidR="001922B9">
        <w:rPr>
          <w:rFonts w:asciiTheme="majorHAnsi" w:hAnsiTheme="majorHAnsi" w:cs="Calibri"/>
        </w:rPr>
        <w:t>;</w:t>
      </w:r>
    </w:p>
    <w:p w14:paraId="1B75CE99" w14:textId="7780DC19" w:rsidR="003A7EAA" w:rsidRPr="0042384C" w:rsidRDefault="003A7EAA" w:rsidP="003A7EAA">
      <w:pPr>
        <w:pStyle w:val="ListParagraph"/>
        <w:numPr>
          <w:ilvl w:val="0"/>
          <w:numId w:val="6"/>
        </w:numPr>
        <w:jc w:val="both"/>
        <w:rPr>
          <w:rFonts w:asciiTheme="majorHAnsi" w:hAnsiTheme="majorHAnsi" w:cs="Calibri"/>
        </w:rPr>
      </w:pPr>
      <w:r w:rsidRPr="0042384C">
        <w:rPr>
          <w:rFonts w:asciiTheme="majorHAnsi" w:hAnsiTheme="majorHAnsi" w:cs="Calibri"/>
        </w:rPr>
        <w:t>TBML სქემებისთვის თიზ-ების გამოყენების საფრთხე</w:t>
      </w:r>
      <w:r w:rsidR="001922B9">
        <w:rPr>
          <w:rFonts w:asciiTheme="majorHAnsi" w:hAnsiTheme="majorHAnsi" w:cs="Calibri"/>
        </w:rPr>
        <w:t>;</w:t>
      </w:r>
    </w:p>
    <w:p w14:paraId="11838320" w14:textId="77777777" w:rsidR="003A7EAA" w:rsidRPr="0042384C" w:rsidRDefault="003A7EAA" w:rsidP="003A7EAA">
      <w:pPr>
        <w:pStyle w:val="ListParagraph"/>
        <w:numPr>
          <w:ilvl w:val="0"/>
          <w:numId w:val="6"/>
        </w:numPr>
        <w:jc w:val="both"/>
        <w:rPr>
          <w:rFonts w:asciiTheme="majorHAnsi" w:hAnsiTheme="majorHAnsi" w:cs="Calibri"/>
        </w:rPr>
      </w:pPr>
      <w:r w:rsidRPr="0042384C">
        <w:rPr>
          <w:rFonts w:asciiTheme="majorHAnsi" w:hAnsiTheme="majorHAnsi" w:cs="Calibri"/>
        </w:rPr>
        <w:t>თიზ-ებში მოქმედი საწარმოების ფიზიკური ადგილმდებარეობა.</w:t>
      </w:r>
    </w:p>
    <w:p w14:paraId="7D4A174C" w14:textId="77777777" w:rsidR="003A7EAA" w:rsidRPr="0042384C" w:rsidRDefault="003A7EAA" w:rsidP="003A7EAA">
      <w:pPr>
        <w:ind w:firstLine="360"/>
        <w:jc w:val="both"/>
        <w:rPr>
          <w:rFonts w:asciiTheme="majorHAnsi" w:hAnsiTheme="majorHAnsi" w:cs="Calibri"/>
        </w:rPr>
      </w:pPr>
    </w:p>
    <w:p w14:paraId="4B1DB7B0" w14:textId="0573949D" w:rsidR="003A7EAA" w:rsidRPr="0042384C" w:rsidRDefault="003A7EAA" w:rsidP="003F7CDA">
      <w:pPr>
        <w:ind w:firstLine="360"/>
        <w:jc w:val="both"/>
        <w:rPr>
          <w:rFonts w:asciiTheme="majorHAnsi" w:hAnsiTheme="majorHAnsi" w:cs="Calibri"/>
        </w:rPr>
      </w:pPr>
      <w:r w:rsidRPr="0042384C">
        <w:rPr>
          <w:rFonts w:asciiTheme="majorHAnsi" w:hAnsiTheme="majorHAnsi" w:cs="Calibri"/>
        </w:rPr>
        <w:t xml:space="preserve">მოწყვლადობის ერთ-ერთი წყაროა ზედამხედველობის მცირე ხარისხი, რომელიც ხორციელდება თიზ-ებში მოქმედ საწარმოებზე. თიზ-ებში მოქმედი საწარმოები არ ახორციელებენ იმ ტიპის მომსახურებას/საქმიანობას, რომელიც ხვდება ფინანსური ქმედების სპეციალური ჯგუფის (შემდგომ </w:t>
      </w:r>
      <w:r w:rsidR="001922B9">
        <w:rPr>
          <w:rFonts w:asciiTheme="majorHAnsi" w:hAnsiTheme="majorHAnsi" w:cs="Calibri"/>
        </w:rPr>
        <w:t>−</w:t>
      </w:r>
      <w:r w:rsidRPr="0042384C">
        <w:rPr>
          <w:rFonts w:asciiTheme="majorHAnsi" w:hAnsiTheme="majorHAnsi" w:cs="Calibri"/>
        </w:rPr>
        <w:t xml:space="preserve"> „FATF“) სტანდარტებით განსაზღვრული „საფინანსო ინსტიტუტების“ და „არასაფინანსო ბიზნესებისა და პროფესიების“ განსაზღვრებაში. </w:t>
      </w:r>
    </w:p>
    <w:p w14:paraId="3F8F199C" w14:textId="3C62E796" w:rsidR="003A7EAA" w:rsidRPr="0042384C" w:rsidRDefault="003A7EAA" w:rsidP="003F7CDA">
      <w:pPr>
        <w:ind w:firstLine="360"/>
        <w:jc w:val="both"/>
        <w:rPr>
          <w:rFonts w:asciiTheme="majorHAnsi" w:hAnsiTheme="majorHAnsi" w:cs="Calibri"/>
        </w:rPr>
      </w:pPr>
      <w:r w:rsidRPr="0042384C">
        <w:rPr>
          <w:rFonts w:asciiTheme="majorHAnsi" w:hAnsiTheme="majorHAnsi" w:cs="Calibri"/>
        </w:rPr>
        <w:t>აქედან გამომდინარე, თიზ-ების ორგანიზატორებსა და თიზე-ებში მოქმედ საწარმოებ</w:t>
      </w:r>
      <w:r w:rsidR="000364C1" w:rsidRPr="0042384C">
        <w:rPr>
          <w:rFonts w:asciiTheme="majorHAnsi" w:hAnsiTheme="majorHAnsi" w:cs="Calibri"/>
        </w:rPr>
        <w:t>ზე</w:t>
      </w:r>
      <w:r w:rsidRPr="0042384C">
        <w:rPr>
          <w:rFonts w:asciiTheme="majorHAnsi" w:hAnsiTheme="majorHAnsi" w:cs="Calibri"/>
        </w:rPr>
        <w:t xml:space="preserve"> არ ვრცელდება FATF-ის სტანდარტები ლიცენზირების, რეგულირებისა და ზედამხედველობის სფეროში. მაგალითად, თიზ-ების ორგანიზატორი კომპანიები არ ახორციელებენ „ფულის გათეთრების</w:t>
      </w:r>
      <w:r w:rsidR="003E3540" w:rsidRPr="0042384C">
        <w:rPr>
          <w:rFonts w:asciiTheme="majorHAnsi" w:hAnsiTheme="majorHAnsi" w:cs="Calibri"/>
        </w:rPr>
        <w:t>ა</w:t>
      </w:r>
      <w:r w:rsidRPr="0042384C">
        <w:rPr>
          <w:rFonts w:asciiTheme="majorHAnsi" w:hAnsiTheme="majorHAnsi" w:cs="Calibri"/>
        </w:rPr>
        <w:t xml:space="preserve"> და ტერორიზმის დაფინანსების აღკვეთის ხელშეწყობის შესახებ“ საქართველოს კანონით გათვალისწინებულ პრევენციულ ღონისძიებებს საწარმოებზე ლიცენზიების გაცემის მომენტში.</w:t>
      </w:r>
    </w:p>
    <w:p w14:paraId="0C1401FF" w14:textId="7B20E27D" w:rsidR="003A7EAA" w:rsidRPr="0042384C" w:rsidRDefault="005F5C2D" w:rsidP="003F7CDA">
      <w:pPr>
        <w:ind w:firstLine="360"/>
        <w:jc w:val="both"/>
        <w:rPr>
          <w:rFonts w:asciiTheme="majorHAnsi" w:hAnsiTheme="majorHAnsi" w:cs="Calibri"/>
        </w:rPr>
      </w:pPr>
      <w:r w:rsidRPr="0042384C">
        <w:rPr>
          <w:rFonts w:asciiTheme="majorHAnsi" w:hAnsiTheme="majorHAnsi" w:cs="Calibri"/>
        </w:rPr>
        <w:t>თიზ</w:t>
      </w:r>
      <w:r w:rsidR="003A7EAA" w:rsidRPr="0042384C">
        <w:rPr>
          <w:rFonts w:asciiTheme="majorHAnsi" w:hAnsiTheme="majorHAnsi" w:cs="Calibri"/>
        </w:rPr>
        <w:t>ებ</w:t>
      </w:r>
      <w:r w:rsidRPr="0042384C">
        <w:rPr>
          <w:rFonts w:asciiTheme="majorHAnsi" w:hAnsiTheme="majorHAnsi" w:cs="Calibri"/>
        </w:rPr>
        <w:t>-</w:t>
      </w:r>
      <w:r w:rsidR="003A7EAA" w:rsidRPr="0042384C">
        <w:rPr>
          <w:rFonts w:asciiTheme="majorHAnsi" w:hAnsiTheme="majorHAnsi" w:cs="Calibri"/>
        </w:rPr>
        <w:t>ის მიზნებიდან გამომდინარე, თიზ-ის ტერიტორიაზე შეტანილი საქონელი გადის სტანდარტულ საბაჟო კონტროლს. აქედან გამომდინარე, კომერციული თაღლითობის მიზნით</w:t>
      </w:r>
      <w:r w:rsidR="00EC1CEB" w:rsidRPr="0042384C">
        <w:rPr>
          <w:rFonts w:asciiTheme="majorHAnsi" w:hAnsiTheme="majorHAnsi" w:cs="Calibri"/>
        </w:rPr>
        <w:t>, თიზ-ების ბოროტად გამოყენების რისკი არ განიხილება მომეტებულად</w:t>
      </w:r>
      <w:r w:rsidR="003A7EAA" w:rsidRPr="0042384C">
        <w:rPr>
          <w:rFonts w:asciiTheme="majorHAnsi" w:hAnsiTheme="majorHAnsi" w:cs="Calibri"/>
        </w:rPr>
        <w:t>. თიზ-ში განხორციელებულ ოპერაციებზე ინფორმაციის მიწოდება ხორციელდება თიზ-ების ორგანიზატორი კომპანიებისთვის, რომლებიც ამ ინფორმაციას შემდეგ აწვდიან შემოსავლების სამსახურს. თუმცა, თიზ-ების ორგანიზატორების და შემოსავლების სამსახურის მონაცემთა აღრიცხვის სისტემები განსხვავდება და არ არის ინტეგრირებული. ამ გარემოებამ შეიძლება გავლენა იქონიოს თიზებ</w:t>
      </w:r>
      <w:r w:rsidRPr="0042384C">
        <w:rPr>
          <w:rFonts w:asciiTheme="majorHAnsi" w:hAnsiTheme="majorHAnsi" w:cs="Calibri"/>
        </w:rPr>
        <w:t>-</w:t>
      </w:r>
      <w:r w:rsidR="003A7EAA" w:rsidRPr="0042384C">
        <w:rPr>
          <w:rFonts w:asciiTheme="majorHAnsi" w:hAnsiTheme="majorHAnsi" w:cs="Calibri"/>
        </w:rPr>
        <w:t xml:space="preserve">ის ორგანიზატორებსა და შემოსავლების სამსახურს შორის კოორდინაციასა და თიზ-ებში მოქმედ საწარმოთა ოპერაციების მონიტორინგზე. </w:t>
      </w:r>
    </w:p>
    <w:p w14:paraId="0D4D57B9" w14:textId="526DCAB8" w:rsidR="003A7EAA" w:rsidRPr="0042384C" w:rsidRDefault="000F43C4" w:rsidP="003F7CDA">
      <w:pPr>
        <w:ind w:firstLine="360"/>
        <w:jc w:val="both"/>
        <w:rPr>
          <w:rFonts w:asciiTheme="majorHAnsi" w:hAnsiTheme="majorHAnsi" w:cs="Calibri"/>
        </w:rPr>
      </w:pPr>
      <w:r w:rsidRPr="0042384C">
        <w:rPr>
          <w:rFonts w:asciiTheme="majorHAnsi" w:hAnsiTheme="majorHAnsi" w:cs="Calibri"/>
        </w:rPr>
        <w:t>მსხვილი მასშტაბის</w:t>
      </w:r>
      <w:r w:rsidR="003A7EAA" w:rsidRPr="0042384C">
        <w:rPr>
          <w:rFonts w:asciiTheme="majorHAnsi" w:hAnsiTheme="majorHAnsi" w:cs="Calibri"/>
        </w:rPr>
        <w:t xml:space="preserve"> თიზ-ებთან მიმართებით რთულია შემომავალი/გამავალი ტვირთების, საქონლის გადამუშავების, გადაფუთვის და ხელახალი მარკირების მონიტორინგი. შესაბამისად, თიზებ-ში შეიძლება შეიქმნას ვაჭრობაზე დამყარებული ფულის გათეთრებისა და ტერორიზმის დაფინანსების (შემდგომ </w:t>
      </w:r>
      <w:r w:rsidR="001922B9">
        <w:rPr>
          <w:rFonts w:asciiTheme="majorHAnsi" w:hAnsiTheme="majorHAnsi" w:cs="Calibri"/>
        </w:rPr>
        <w:t>−</w:t>
      </w:r>
      <w:r w:rsidR="003A7EAA" w:rsidRPr="0042384C">
        <w:rPr>
          <w:rFonts w:asciiTheme="majorHAnsi" w:hAnsiTheme="majorHAnsi" w:cs="Calibri"/>
        </w:rPr>
        <w:t xml:space="preserve"> „TBML“) რისკი. TBML სქემები, როგორც წესი, გულისხმობს საქონლის/ტვირთის ღირებულებისა და მოცულობის ფალსიფიკაციას (მაგ.</w:t>
      </w:r>
      <w:r w:rsidR="001922B9">
        <w:rPr>
          <w:rFonts w:asciiTheme="majorHAnsi" w:hAnsiTheme="majorHAnsi" w:cs="Calibri"/>
        </w:rPr>
        <w:t>,</w:t>
      </w:r>
      <w:r w:rsidR="003A7EAA" w:rsidRPr="0042384C">
        <w:rPr>
          <w:rFonts w:asciiTheme="majorHAnsi" w:hAnsiTheme="majorHAnsi" w:cs="Calibri"/>
        </w:rPr>
        <w:t xml:space="preserve"> ინვოისის ღირებულების ხელოვნურად გაზრდა, შემცირება, მრავალჯერადი ინვოისის გამოწერა) </w:t>
      </w:r>
      <w:r w:rsidR="003A7EAA" w:rsidRPr="0042384C">
        <w:rPr>
          <w:rFonts w:asciiTheme="majorHAnsi" w:hAnsiTheme="majorHAnsi" w:cs="Calibri"/>
        </w:rPr>
        <w:lastRenderedPageBreak/>
        <w:t xml:space="preserve">იმისათვის, რომ ერთი ქვეყნიდან მეორეში თანხების მიმოქცევისთვის ლეგიტიმური საფუძველი </w:t>
      </w:r>
      <w:r w:rsidRPr="0042384C">
        <w:rPr>
          <w:rFonts w:asciiTheme="majorHAnsi" w:hAnsiTheme="majorHAnsi" w:cs="Calibri"/>
        </w:rPr>
        <w:t>გაჩნდეს</w:t>
      </w:r>
      <w:r w:rsidR="003A7EAA" w:rsidRPr="0042384C">
        <w:rPr>
          <w:rFonts w:asciiTheme="majorHAnsi" w:hAnsiTheme="majorHAnsi" w:cs="Calibri"/>
        </w:rPr>
        <w:t>. თუმცა, TBML სქემები საჭიროებს სხვადასხვა ინსტრუმენტების გამოყენებას, როგორიცაა ნაღდი ფული, ფიქტიური კომპანიათა ქსელი, ვალუტის გადაცვლა და საქონლის შეძენა და ტრანსპორტირება უკანონო გზით მოპოვებული შემოსავლის მეშვეობით.</w:t>
      </w:r>
    </w:p>
    <w:p w14:paraId="6FB27523" w14:textId="6A5699BB" w:rsidR="003A7EAA" w:rsidRPr="0042384C" w:rsidRDefault="003A7EAA" w:rsidP="003F7CDA">
      <w:pPr>
        <w:ind w:firstLine="360"/>
        <w:jc w:val="both"/>
        <w:rPr>
          <w:rFonts w:asciiTheme="majorHAnsi" w:hAnsiTheme="majorHAnsi" w:cs="Calibri"/>
        </w:rPr>
      </w:pPr>
      <w:r w:rsidRPr="0042384C">
        <w:rPr>
          <w:rFonts w:asciiTheme="majorHAnsi" w:hAnsiTheme="majorHAnsi" w:cs="Calibri"/>
        </w:rPr>
        <w:t xml:space="preserve">კანონმდებლობა ასევე არ მოითხოვს, რომ თიზ-ში მოქმედ საწარმოებს ჰქონდეთ </w:t>
      </w:r>
      <w:r w:rsidR="000F43C4" w:rsidRPr="0042384C">
        <w:rPr>
          <w:rFonts w:asciiTheme="majorHAnsi" w:hAnsiTheme="majorHAnsi" w:cs="Calibri"/>
        </w:rPr>
        <w:t>თიზ-ის ტერიტორიაზე</w:t>
      </w:r>
      <w:r w:rsidRPr="0042384C">
        <w:rPr>
          <w:rFonts w:asciiTheme="majorHAnsi" w:hAnsiTheme="majorHAnsi" w:cs="Calibri"/>
        </w:rPr>
        <w:t xml:space="preserve"> ფიზიკური ადგილმდებარეობა. ეს წინააღმდეგობაში მოდის თიზ-ების შექმნის </w:t>
      </w:r>
      <w:r w:rsidR="000F43C4" w:rsidRPr="0042384C">
        <w:rPr>
          <w:rFonts w:asciiTheme="majorHAnsi" w:hAnsiTheme="majorHAnsi" w:cs="Calibri"/>
        </w:rPr>
        <w:t xml:space="preserve">მთავარ </w:t>
      </w:r>
      <w:r w:rsidRPr="0042384C">
        <w:rPr>
          <w:rFonts w:asciiTheme="majorHAnsi" w:hAnsiTheme="majorHAnsi" w:cs="Calibri"/>
        </w:rPr>
        <w:t>მიზანთან, რაც გულისხმობს ადგილობრივ ბიზნესთან კონკურენციაში შესვლის გარეშე, საერთაშორისო ბიზნეს</w:t>
      </w:r>
      <w:r w:rsidR="000F43C4" w:rsidRPr="0042384C">
        <w:rPr>
          <w:rFonts w:asciiTheme="majorHAnsi" w:hAnsiTheme="majorHAnsi" w:cs="Calibri"/>
        </w:rPr>
        <w:t>ებ</w:t>
      </w:r>
      <w:r w:rsidRPr="0042384C">
        <w:rPr>
          <w:rFonts w:asciiTheme="majorHAnsi" w:hAnsiTheme="majorHAnsi" w:cs="Calibri"/>
        </w:rPr>
        <w:t xml:space="preserve">ის მიერ საქართველოში ოპერაციების გადმოტანას. თიზ-ში მოქმედმა კომპანიამ შეიძლება გამოიყენოს თიზ-ის ლიცენზია საფინანსო მომსახურებაზე წვდომის მისაღებად საქართველოში ან საზღვარგარეთ ისე, რომ თიზ-ის ტერიტორიაზე არ განახორციელოს სასაქონლო ოპერაციები. ეს გარემოება შეიძლება მიმზიდველი გახდეს ფულის გათეთრების და ტერორიზმის დაფინანსების სხვადასხვა სქემებისთვის. </w:t>
      </w:r>
    </w:p>
    <w:p w14:paraId="21540FB0" w14:textId="6DDB68AB" w:rsidR="003A7EAA" w:rsidRPr="0042384C" w:rsidRDefault="00B359B1" w:rsidP="003F7CDA">
      <w:pPr>
        <w:ind w:firstLine="360"/>
        <w:jc w:val="both"/>
        <w:rPr>
          <w:rFonts w:asciiTheme="majorHAnsi" w:hAnsiTheme="majorHAnsi" w:cs="Calibri"/>
        </w:rPr>
      </w:pPr>
      <w:r w:rsidRPr="0042384C">
        <w:rPr>
          <w:rFonts w:asciiTheme="majorHAnsi" w:hAnsiTheme="majorHAnsi" w:cs="Calibri"/>
        </w:rPr>
        <w:t>1.4</w:t>
      </w:r>
      <w:r w:rsidR="003F7CDA" w:rsidRPr="0042384C">
        <w:rPr>
          <w:rFonts w:asciiTheme="majorHAnsi" w:hAnsiTheme="majorHAnsi" w:cs="Calibri"/>
        </w:rPr>
        <w:t xml:space="preserve">. </w:t>
      </w:r>
      <w:r w:rsidR="003A7EAA" w:rsidRPr="0042384C">
        <w:rPr>
          <w:rFonts w:asciiTheme="majorHAnsi" w:hAnsiTheme="majorHAnsi" w:cs="Calibri"/>
        </w:rPr>
        <w:t>რისკების შემცირება</w:t>
      </w:r>
    </w:p>
    <w:p w14:paraId="307E1ED2" w14:textId="77FCC12C" w:rsidR="003A7EAA" w:rsidRPr="0042384C" w:rsidRDefault="003A7EAA" w:rsidP="003F7CDA">
      <w:pPr>
        <w:ind w:firstLine="360"/>
        <w:jc w:val="both"/>
        <w:rPr>
          <w:rFonts w:asciiTheme="majorHAnsi" w:hAnsiTheme="majorHAnsi" w:cs="Calibri"/>
        </w:rPr>
      </w:pPr>
      <w:r w:rsidRPr="0042384C">
        <w:rPr>
          <w:rFonts w:asciiTheme="majorHAnsi" w:hAnsiTheme="majorHAnsi" w:cs="Calibri"/>
        </w:rPr>
        <w:t xml:space="preserve">საწარმოები, რომლებსაც სურთ თიზ-ის ლიცენზიის მიღება, ზუსტად იმავე წესით რეგისტრირდებიან სამეწარმეო და არასამეწარმეო იურიდიულ პირთა რეესტრში (შემდგომ </w:t>
      </w:r>
      <w:r w:rsidR="001922B9">
        <w:rPr>
          <w:rFonts w:asciiTheme="majorHAnsi" w:hAnsiTheme="majorHAnsi" w:cs="Calibri"/>
        </w:rPr>
        <w:t>−</w:t>
      </w:r>
      <w:r w:rsidRPr="0042384C">
        <w:rPr>
          <w:rFonts w:asciiTheme="majorHAnsi" w:hAnsiTheme="majorHAnsi" w:cs="Calibri"/>
        </w:rPr>
        <w:t xml:space="preserve"> „სამეწარმეო რეესტრი“) როგორც სხვა კომპანიები. შესაბამისად, თიზ-ში მოქმედ საწარმოზე არ ვრცელდება რეგისტრაციის გამარტივებული რეჟიმი. კერძოდ, თიზ-ის ორგანიზატორს არ აქვს კომპანიების რეგისტრაციის უფლებამოსილება და ლიცენზიების გაცემა ხდება სამეწარმეო რეესტრი იურიდიული პირის რეგისტრაციის შემდეგ. ეს ნიშნავს, რომ თიზ-ებში მოქმედ საწარმოთა მფლობელობა გამჭვირვალეა საქართველოში რეგისტრირებული სხვა კომპანიების მსგავსად, რაც მნიშვნელოვნად უწყობს ხელს გამოძიების ორგანოებს ფულის გათეთრების, გადასახადისთვის თავის არიდების </w:t>
      </w:r>
      <w:r w:rsidR="009D257D" w:rsidRPr="0042384C">
        <w:rPr>
          <w:rFonts w:asciiTheme="majorHAnsi" w:hAnsiTheme="majorHAnsi" w:cs="Calibri"/>
        </w:rPr>
        <w:t>და</w:t>
      </w:r>
      <w:r w:rsidRPr="0042384C">
        <w:rPr>
          <w:rFonts w:asciiTheme="majorHAnsi" w:hAnsiTheme="majorHAnsi" w:cs="Calibri"/>
        </w:rPr>
        <w:t xml:space="preserve"> სხვა დანაშაულების გამოძიების პროცესში. </w:t>
      </w:r>
    </w:p>
    <w:p w14:paraId="71711941" w14:textId="615D0488" w:rsidR="003A7EAA" w:rsidRPr="0042384C" w:rsidRDefault="003A7EAA" w:rsidP="003A7EAA">
      <w:pPr>
        <w:ind w:firstLine="360"/>
        <w:jc w:val="both"/>
        <w:rPr>
          <w:rFonts w:asciiTheme="majorHAnsi" w:hAnsiTheme="majorHAnsi" w:cs="Calibri"/>
        </w:rPr>
      </w:pPr>
      <w:r w:rsidRPr="0042384C">
        <w:rPr>
          <w:rFonts w:asciiTheme="majorHAnsi" w:hAnsiTheme="majorHAnsi" w:cs="Calibri"/>
        </w:rPr>
        <w:t xml:space="preserve">საქართველოს ეროვნული ბანკის რეგულაციების შესაბამისად, ბანკები და სხვა საფინანსო ინსტიტუტები თიზ-ში მოქმედ კომპანიებს განიხილავენ მაღალრისკიან კლიენტებად და მათ მიმართ გაძლიერებულ პრევენციულ ზომებს ახორციელებენ. კერძოდ, მაღალრისკიან (მათ შორის, თიზ-ის) საწარმოებთან მიმართებით, ბანკები ჩვეულებრივ ითხოვენ საქართველოში ფიზიკური ადგილმდებარეობის არსებობას, ხოლო საერთაშორისო ტრანზაქციების შესრულების დროს მოიპოვებენ შესაბამის განბაჟება/ტრანსპორტირების და სხვა ისეთ დოკუმენტაციას, რომელიც ტვირთის შიგთავსის, მოცულობისა და ღირებულების გადამოწმების საშუალებას იძლევა. </w:t>
      </w:r>
    </w:p>
    <w:p w14:paraId="1AE2D0F2" w14:textId="1CD89D7C" w:rsidR="003A7EAA" w:rsidRPr="0042384C" w:rsidRDefault="00C16938" w:rsidP="003F7CDA">
      <w:pPr>
        <w:ind w:firstLine="720"/>
        <w:jc w:val="both"/>
        <w:rPr>
          <w:rFonts w:asciiTheme="majorHAnsi" w:hAnsiTheme="majorHAnsi"/>
          <w:lang w:eastAsia="en-US"/>
        </w:rPr>
      </w:pPr>
      <w:r w:rsidRPr="0042384C">
        <w:rPr>
          <w:rFonts w:asciiTheme="majorHAnsi" w:hAnsiTheme="majorHAnsi" w:cs="Sylfaen"/>
        </w:rPr>
        <w:t>ამასთან</w:t>
      </w:r>
      <w:r w:rsidRPr="0042384C">
        <w:rPr>
          <w:rFonts w:asciiTheme="majorHAnsi" w:hAnsiTheme="majorHAnsi"/>
        </w:rPr>
        <w:t xml:space="preserve">, </w:t>
      </w:r>
      <w:r w:rsidRPr="0042384C">
        <w:rPr>
          <w:rFonts w:asciiTheme="majorHAnsi" w:hAnsiTheme="majorHAnsi" w:cs="Sylfaen"/>
        </w:rPr>
        <w:t>დისტანციური</w:t>
      </w:r>
      <w:r w:rsidRPr="0042384C">
        <w:rPr>
          <w:rFonts w:asciiTheme="majorHAnsi" w:hAnsiTheme="majorHAnsi"/>
        </w:rPr>
        <w:t xml:space="preserve"> </w:t>
      </w:r>
      <w:r w:rsidRPr="0042384C">
        <w:rPr>
          <w:rFonts w:asciiTheme="majorHAnsi" w:hAnsiTheme="majorHAnsi" w:cs="Sylfaen"/>
        </w:rPr>
        <w:t>ზედამხედველობის</w:t>
      </w:r>
      <w:r w:rsidRPr="0042384C">
        <w:rPr>
          <w:rFonts w:asciiTheme="majorHAnsi" w:hAnsiTheme="majorHAnsi"/>
        </w:rPr>
        <w:t xml:space="preserve"> </w:t>
      </w:r>
      <w:r w:rsidRPr="0042384C">
        <w:rPr>
          <w:rFonts w:asciiTheme="majorHAnsi" w:hAnsiTheme="majorHAnsi" w:cs="Sylfaen"/>
        </w:rPr>
        <w:t>ფარგლებში</w:t>
      </w:r>
      <w:r w:rsidRPr="0042384C">
        <w:rPr>
          <w:rFonts w:asciiTheme="majorHAnsi" w:hAnsiTheme="majorHAnsi"/>
        </w:rPr>
        <w:t xml:space="preserve">, </w:t>
      </w:r>
      <w:r w:rsidRPr="0042384C">
        <w:rPr>
          <w:rFonts w:asciiTheme="majorHAnsi" w:hAnsiTheme="majorHAnsi" w:cs="Sylfaen"/>
        </w:rPr>
        <w:t>სებ</w:t>
      </w:r>
      <w:r w:rsidRPr="0042384C">
        <w:rPr>
          <w:rFonts w:asciiTheme="majorHAnsi" w:hAnsiTheme="majorHAnsi"/>
        </w:rPr>
        <w:t xml:space="preserve"> </w:t>
      </w:r>
      <w:r w:rsidRPr="0042384C">
        <w:rPr>
          <w:rFonts w:asciiTheme="majorHAnsi" w:hAnsiTheme="majorHAnsi" w:cs="Sylfaen"/>
        </w:rPr>
        <w:t>ფინანსური</w:t>
      </w:r>
      <w:r w:rsidRPr="0042384C">
        <w:rPr>
          <w:rFonts w:asciiTheme="majorHAnsi" w:hAnsiTheme="majorHAnsi"/>
        </w:rPr>
        <w:t xml:space="preserve"> </w:t>
      </w:r>
      <w:r w:rsidRPr="0042384C">
        <w:rPr>
          <w:rFonts w:asciiTheme="majorHAnsi" w:hAnsiTheme="majorHAnsi" w:cs="Sylfaen"/>
        </w:rPr>
        <w:t>ინსტიტუტებისაგან</w:t>
      </w:r>
      <w:r w:rsidRPr="0042384C">
        <w:rPr>
          <w:rFonts w:asciiTheme="majorHAnsi" w:hAnsiTheme="majorHAnsi"/>
        </w:rPr>
        <w:t xml:space="preserve"> </w:t>
      </w:r>
      <w:r w:rsidRPr="0042384C">
        <w:rPr>
          <w:rFonts w:asciiTheme="majorHAnsi" w:hAnsiTheme="majorHAnsi" w:cs="Sylfaen"/>
        </w:rPr>
        <w:t>იღებს</w:t>
      </w:r>
      <w:r w:rsidRPr="0042384C">
        <w:rPr>
          <w:rFonts w:asciiTheme="majorHAnsi" w:hAnsiTheme="majorHAnsi"/>
        </w:rPr>
        <w:t xml:space="preserve"> </w:t>
      </w:r>
      <w:r w:rsidRPr="0042384C">
        <w:rPr>
          <w:rFonts w:asciiTheme="majorHAnsi" w:hAnsiTheme="majorHAnsi" w:cs="Sylfaen"/>
        </w:rPr>
        <w:t>ინფორმაციას</w:t>
      </w:r>
      <w:r w:rsidRPr="0042384C">
        <w:rPr>
          <w:rFonts w:asciiTheme="majorHAnsi" w:hAnsiTheme="majorHAnsi"/>
        </w:rPr>
        <w:t xml:space="preserve"> </w:t>
      </w:r>
      <w:r w:rsidRPr="0042384C">
        <w:rPr>
          <w:rFonts w:asciiTheme="majorHAnsi" w:hAnsiTheme="majorHAnsi" w:cs="Sylfaen"/>
        </w:rPr>
        <w:t>თავისუფალ</w:t>
      </w:r>
      <w:r w:rsidRPr="0042384C">
        <w:rPr>
          <w:rFonts w:asciiTheme="majorHAnsi" w:hAnsiTheme="majorHAnsi"/>
        </w:rPr>
        <w:t xml:space="preserve"> </w:t>
      </w:r>
      <w:r w:rsidRPr="0042384C">
        <w:rPr>
          <w:rFonts w:asciiTheme="majorHAnsi" w:hAnsiTheme="majorHAnsi" w:cs="Sylfaen"/>
        </w:rPr>
        <w:t>ინდუსტრიულ</w:t>
      </w:r>
      <w:r w:rsidRPr="0042384C">
        <w:rPr>
          <w:rFonts w:asciiTheme="majorHAnsi" w:hAnsiTheme="majorHAnsi"/>
        </w:rPr>
        <w:t xml:space="preserve"> </w:t>
      </w:r>
      <w:r w:rsidRPr="0042384C">
        <w:rPr>
          <w:rFonts w:asciiTheme="majorHAnsi" w:hAnsiTheme="majorHAnsi" w:cs="Sylfaen"/>
        </w:rPr>
        <w:t>ზონაში</w:t>
      </w:r>
      <w:r w:rsidRPr="0042384C">
        <w:rPr>
          <w:rFonts w:asciiTheme="majorHAnsi" w:hAnsiTheme="majorHAnsi"/>
        </w:rPr>
        <w:t xml:space="preserve"> </w:t>
      </w:r>
      <w:r w:rsidRPr="0042384C">
        <w:rPr>
          <w:rFonts w:asciiTheme="majorHAnsi" w:hAnsiTheme="majorHAnsi" w:cs="Sylfaen"/>
        </w:rPr>
        <w:t>რეგისტრირებული</w:t>
      </w:r>
      <w:r w:rsidRPr="0042384C">
        <w:rPr>
          <w:rFonts w:asciiTheme="majorHAnsi" w:hAnsiTheme="majorHAnsi"/>
        </w:rPr>
        <w:t xml:space="preserve"> </w:t>
      </w:r>
      <w:r w:rsidRPr="0042384C">
        <w:rPr>
          <w:rFonts w:asciiTheme="majorHAnsi" w:hAnsiTheme="majorHAnsi" w:cs="Sylfaen"/>
        </w:rPr>
        <w:t>პირების</w:t>
      </w:r>
      <w:r w:rsidRPr="0042384C">
        <w:rPr>
          <w:rFonts w:asciiTheme="majorHAnsi" w:hAnsiTheme="majorHAnsi"/>
        </w:rPr>
        <w:t xml:space="preserve"> </w:t>
      </w:r>
      <w:r w:rsidRPr="0042384C">
        <w:rPr>
          <w:rFonts w:asciiTheme="majorHAnsi" w:hAnsiTheme="majorHAnsi" w:cs="Sylfaen"/>
        </w:rPr>
        <w:t>რაოდენობისა</w:t>
      </w:r>
      <w:r w:rsidRPr="0042384C">
        <w:rPr>
          <w:rFonts w:asciiTheme="majorHAnsi" w:hAnsiTheme="majorHAnsi"/>
        </w:rPr>
        <w:t xml:space="preserve"> </w:t>
      </w:r>
      <w:r w:rsidRPr="0042384C">
        <w:rPr>
          <w:rFonts w:asciiTheme="majorHAnsi" w:hAnsiTheme="majorHAnsi" w:cs="Sylfaen"/>
        </w:rPr>
        <w:t>და</w:t>
      </w:r>
      <w:r w:rsidRPr="0042384C">
        <w:rPr>
          <w:rFonts w:asciiTheme="majorHAnsi" w:hAnsiTheme="majorHAnsi"/>
        </w:rPr>
        <w:t xml:space="preserve"> </w:t>
      </w:r>
      <w:r w:rsidRPr="0042384C">
        <w:rPr>
          <w:rFonts w:asciiTheme="majorHAnsi" w:hAnsiTheme="majorHAnsi" w:cs="Sylfaen"/>
        </w:rPr>
        <w:t>მათ</w:t>
      </w:r>
      <w:r w:rsidRPr="0042384C">
        <w:rPr>
          <w:rFonts w:asciiTheme="majorHAnsi" w:hAnsiTheme="majorHAnsi"/>
        </w:rPr>
        <w:t xml:space="preserve"> </w:t>
      </w:r>
      <w:r w:rsidRPr="0042384C">
        <w:rPr>
          <w:rFonts w:asciiTheme="majorHAnsi" w:hAnsiTheme="majorHAnsi" w:cs="Sylfaen"/>
        </w:rPr>
        <w:t>მიერ</w:t>
      </w:r>
      <w:r w:rsidRPr="0042384C">
        <w:rPr>
          <w:rFonts w:asciiTheme="majorHAnsi" w:hAnsiTheme="majorHAnsi"/>
        </w:rPr>
        <w:t xml:space="preserve"> </w:t>
      </w:r>
      <w:r w:rsidRPr="0042384C">
        <w:rPr>
          <w:rFonts w:asciiTheme="majorHAnsi" w:hAnsiTheme="majorHAnsi" w:cs="Sylfaen"/>
        </w:rPr>
        <w:t>განხორციელებული</w:t>
      </w:r>
      <w:r w:rsidRPr="0042384C">
        <w:rPr>
          <w:rFonts w:asciiTheme="majorHAnsi" w:hAnsiTheme="majorHAnsi"/>
        </w:rPr>
        <w:t xml:space="preserve"> </w:t>
      </w:r>
      <w:r w:rsidRPr="0042384C">
        <w:rPr>
          <w:rFonts w:asciiTheme="majorHAnsi" w:hAnsiTheme="majorHAnsi" w:cs="Sylfaen"/>
        </w:rPr>
        <w:t>ოპერაციების</w:t>
      </w:r>
      <w:r w:rsidRPr="0042384C">
        <w:rPr>
          <w:rFonts w:asciiTheme="majorHAnsi" w:hAnsiTheme="majorHAnsi"/>
        </w:rPr>
        <w:t xml:space="preserve"> </w:t>
      </w:r>
      <w:r w:rsidRPr="0042384C">
        <w:rPr>
          <w:rFonts w:asciiTheme="majorHAnsi" w:hAnsiTheme="majorHAnsi" w:cs="Sylfaen"/>
        </w:rPr>
        <w:t>მოცულობის</w:t>
      </w:r>
      <w:r w:rsidRPr="0042384C">
        <w:rPr>
          <w:rFonts w:asciiTheme="majorHAnsi" w:hAnsiTheme="majorHAnsi"/>
        </w:rPr>
        <w:t xml:space="preserve"> </w:t>
      </w:r>
      <w:r w:rsidRPr="0042384C">
        <w:rPr>
          <w:rFonts w:asciiTheme="majorHAnsi" w:hAnsiTheme="majorHAnsi" w:cs="Sylfaen"/>
        </w:rPr>
        <w:t>თაობაზე</w:t>
      </w:r>
      <w:r w:rsidRPr="0042384C">
        <w:rPr>
          <w:rFonts w:asciiTheme="majorHAnsi" w:hAnsiTheme="majorHAnsi"/>
        </w:rPr>
        <w:t xml:space="preserve">. </w:t>
      </w:r>
      <w:r w:rsidRPr="0042384C">
        <w:rPr>
          <w:rFonts w:asciiTheme="majorHAnsi" w:hAnsiTheme="majorHAnsi" w:cs="Sylfaen"/>
        </w:rPr>
        <w:t>აღნიშნული</w:t>
      </w:r>
      <w:r w:rsidRPr="0042384C">
        <w:rPr>
          <w:rFonts w:asciiTheme="majorHAnsi" w:hAnsiTheme="majorHAnsi"/>
        </w:rPr>
        <w:t xml:space="preserve"> </w:t>
      </w:r>
      <w:r w:rsidRPr="0042384C">
        <w:rPr>
          <w:rFonts w:asciiTheme="majorHAnsi" w:hAnsiTheme="majorHAnsi" w:cs="Sylfaen"/>
        </w:rPr>
        <w:t>ინფორმაცია</w:t>
      </w:r>
      <w:r w:rsidRPr="0042384C">
        <w:rPr>
          <w:rFonts w:asciiTheme="majorHAnsi" w:hAnsiTheme="majorHAnsi"/>
        </w:rPr>
        <w:t xml:space="preserve">, </w:t>
      </w:r>
      <w:r w:rsidRPr="0042384C">
        <w:rPr>
          <w:rFonts w:asciiTheme="majorHAnsi" w:hAnsiTheme="majorHAnsi" w:cs="Sylfaen"/>
        </w:rPr>
        <w:t>სხვა</w:t>
      </w:r>
      <w:r w:rsidRPr="0042384C">
        <w:rPr>
          <w:rFonts w:asciiTheme="majorHAnsi" w:hAnsiTheme="majorHAnsi"/>
        </w:rPr>
        <w:t xml:space="preserve"> </w:t>
      </w:r>
      <w:r w:rsidRPr="0042384C">
        <w:rPr>
          <w:rFonts w:asciiTheme="majorHAnsi" w:hAnsiTheme="majorHAnsi" w:cs="Sylfaen"/>
        </w:rPr>
        <w:t>შესაბამის</w:t>
      </w:r>
      <w:r w:rsidRPr="0042384C">
        <w:rPr>
          <w:rFonts w:asciiTheme="majorHAnsi" w:hAnsiTheme="majorHAnsi"/>
        </w:rPr>
        <w:t xml:space="preserve"> </w:t>
      </w:r>
      <w:r w:rsidRPr="0042384C">
        <w:rPr>
          <w:rFonts w:asciiTheme="majorHAnsi" w:hAnsiTheme="majorHAnsi" w:cs="Sylfaen"/>
        </w:rPr>
        <w:t>მონაცემებთან</w:t>
      </w:r>
      <w:r w:rsidRPr="0042384C">
        <w:rPr>
          <w:rFonts w:asciiTheme="majorHAnsi" w:hAnsiTheme="majorHAnsi"/>
        </w:rPr>
        <w:t xml:space="preserve"> </w:t>
      </w:r>
      <w:r w:rsidRPr="0042384C">
        <w:rPr>
          <w:rFonts w:asciiTheme="majorHAnsi" w:hAnsiTheme="majorHAnsi" w:cs="Sylfaen"/>
        </w:rPr>
        <w:t>ერთად</w:t>
      </w:r>
      <w:r w:rsidRPr="0042384C">
        <w:rPr>
          <w:rFonts w:asciiTheme="majorHAnsi" w:hAnsiTheme="majorHAnsi"/>
        </w:rPr>
        <w:t xml:space="preserve">, </w:t>
      </w:r>
      <w:r w:rsidRPr="0042384C">
        <w:rPr>
          <w:rFonts w:asciiTheme="majorHAnsi" w:hAnsiTheme="majorHAnsi" w:cs="Sylfaen"/>
        </w:rPr>
        <w:t>მიიღება</w:t>
      </w:r>
      <w:r w:rsidRPr="0042384C">
        <w:rPr>
          <w:rFonts w:asciiTheme="majorHAnsi" w:hAnsiTheme="majorHAnsi"/>
        </w:rPr>
        <w:t xml:space="preserve"> </w:t>
      </w:r>
      <w:r w:rsidRPr="0042384C">
        <w:rPr>
          <w:rFonts w:asciiTheme="majorHAnsi" w:hAnsiTheme="majorHAnsi" w:cs="Sylfaen"/>
        </w:rPr>
        <w:t>მხედველობაში</w:t>
      </w:r>
      <w:r w:rsidRPr="0042384C">
        <w:rPr>
          <w:rFonts w:asciiTheme="majorHAnsi" w:hAnsiTheme="majorHAnsi"/>
        </w:rPr>
        <w:t xml:space="preserve"> </w:t>
      </w:r>
      <w:r w:rsidRPr="0042384C">
        <w:rPr>
          <w:rFonts w:asciiTheme="majorHAnsi" w:hAnsiTheme="majorHAnsi" w:cs="Sylfaen"/>
        </w:rPr>
        <w:t>შესაბამისი</w:t>
      </w:r>
      <w:r w:rsidRPr="0042384C">
        <w:rPr>
          <w:rFonts w:asciiTheme="majorHAnsi" w:hAnsiTheme="majorHAnsi"/>
        </w:rPr>
        <w:t xml:space="preserve"> </w:t>
      </w:r>
      <w:r w:rsidRPr="0042384C">
        <w:rPr>
          <w:rFonts w:asciiTheme="majorHAnsi" w:hAnsiTheme="majorHAnsi" w:cs="Sylfaen"/>
        </w:rPr>
        <w:t>საზედამხედველო</w:t>
      </w:r>
      <w:r w:rsidRPr="0042384C">
        <w:rPr>
          <w:rFonts w:asciiTheme="majorHAnsi" w:hAnsiTheme="majorHAnsi"/>
        </w:rPr>
        <w:t xml:space="preserve"> </w:t>
      </w:r>
      <w:r w:rsidRPr="0042384C">
        <w:rPr>
          <w:rFonts w:asciiTheme="majorHAnsi" w:hAnsiTheme="majorHAnsi" w:cs="Sylfaen"/>
        </w:rPr>
        <w:t>პოლიტიკის</w:t>
      </w:r>
      <w:r w:rsidRPr="0042384C">
        <w:rPr>
          <w:rFonts w:asciiTheme="majorHAnsi" w:hAnsiTheme="majorHAnsi"/>
        </w:rPr>
        <w:t xml:space="preserve"> </w:t>
      </w:r>
      <w:r w:rsidRPr="0042384C">
        <w:rPr>
          <w:rFonts w:asciiTheme="majorHAnsi" w:hAnsiTheme="majorHAnsi" w:cs="Sylfaen"/>
        </w:rPr>
        <w:t>დაგეგმვისა</w:t>
      </w:r>
      <w:r w:rsidRPr="0042384C">
        <w:rPr>
          <w:rFonts w:asciiTheme="majorHAnsi" w:hAnsiTheme="majorHAnsi"/>
        </w:rPr>
        <w:t xml:space="preserve"> </w:t>
      </w:r>
      <w:r w:rsidRPr="0042384C">
        <w:rPr>
          <w:rFonts w:asciiTheme="majorHAnsi" w:hAnsiTheme="majorHAnsi" w:cs="Sylfaen"/>
        </w:rPr>
        <w:t>და</w:t>
      </w:r>
      <w:r w:rsidRPr="0042384C">
        <w:rPr>
          <w:rFonts w:asciiTheme="majorHAnsi" w:hAnsiTheme="majorHAnsi"/>
        </w:rPr>
        <w:t xml:space="preserve"> </w:t>
      </w:r>
      <w:r w:rsidRPr="0042384C">
        <w:rPr>
          <w:rFonts w:asciiTheme="majorHAnsi" w:hAnsiTheme="majorHAnsi" w:cs="Sylfaen"/>
        </w:rPr>
        <w:t>აღსრულების</w:t>
      </w:r>
      <w:r w:rsidRPr="0042384C">
        <w:rPr>
          <w:rFonts w:asciiTheme="majorHAnsi" w:hAnsiTheme="majorHAnsi"/>
        </w:rPr>
        <w:t xml:space="preserve"> </w:t>
      </w:r>
      <w:r w:rsidRPr="0042384C">
        <w:rPr>
          <w:rFonts w:asciiTheme="majorHAnsi" w:hAnsiTheme="majorHAnsi" w:cs="Sylfaen"/>
        </w:rPr>
        <w:t>პროცესში</w:t>
      </w:r>
      <w:r w:rsidRPr="0042384C">
        <w:rPr>
          <w:rFonts w:asciiTheme="majorHAnsi" w:hAnsiTheme="majorHAnsi"/>
        </w:rPr>
        <w:t>.</w:t>
      </w:r>
    </w:p>
    <w:p w14:paraId="01A4C873" w14:textId="43BB0BB4" w:rsidR="003A7EAA" w:rsidRPr="0042384C" w:rsidRDefault="003A7EAA" w:rsidP="003F7CDA">
      <w:pPr>
        <w:ind w:firstLine="360"/>
        <w:jc w:val="both"/>
        <w:rPr>
          <w:rFonts w:asciiTheme="majorHAnsi" w:hAnsiTheme="majorHAnsi" w:cs="Calibri"/>
          <w:color w:val="00B050"/>
        </w:rPr>
      </w:pPr>
      <w:r w:rsidRPr="0042384C">
        <w:rPr>
          <w:rFonts w:asciiTheme="majorHAnsi" w:hAnsiTheme="majorHAnsi" w:cs="Calibri"/>
        </w:rPr>
        <w:t xml:space="preserve">კანონმდებლობით აკრძალულია თიზ-ში მოქმედი საწარმოს მიერ მომსახურების გაწევა საქართველოში რეგისტრირებული პირისთვის. იმავდროულად, 2020 წელს საქართველოს ფინანსთა სამინისტროს შემოსავლების </w:t>
      </w:r>
      <w:r w:rsidRPr="0042384C">
        <w:rPr>
          <w:rFonts w:asciiTheme="majorHAnsi" w:hAnsiTheme="majorHAnsi" w:cs="Calibri"/>
        </w:rPr>
        <w:lastRenderedPageBreak/>
        <w:t>სამსახურმა გამოაქვეყნა სპეციალური განმარტება, რომლის თანახმად თიზ-ში მოქმედი საწარმოს მიერ არარეზიდენტი პირისთვის მომსახურების გაწევაც არ ჩაითვლება ნებადართულ საქმიანობად. შესაბამისად, მომსახურების ლიცენზიის მქონე საწარმოებზე 2020 წლიდან აღარ ვრცელდება კანონმდებლობით გათვალისწინებული საგადასახადო შეღავათები. ამიტომ, ასეთი საწარმოების საქმიანობა ამჟამად შეზღუდულია, ხოლო მომსახურების</w:t>
      </w:r>
      <w:r w:rsidR="0011631C" w:rsidRPr="0042384C">
        <w:rPr>
          <w:rFonts w:asciiTheme="majorHAnsi" w:hAnsiTheme="majorHAnsi" w:cs="Calibri"/>
        </w:rPr>
        <w:t xml:space="preserve"> სფეროში ახალი</w:t>
      </w:r>
      <w:r w:rsidRPr="0042384C">
        <w:rPr>
          <w:rFonts w:asciiTheme="majorHAnsi" w:hAnsiTheme="majorHAnsi" w:cs="Calibri"/>
        </w:rPr>
        <w:t xml:space="preserve"> ლიცენზიების გაცემა თიზ-ების ორგანიზატორების მიერ ფაქტობრივად აღარ ხდება</w:t>
      </w:r>
      <w:r w:rsidR="00DA6499" w:rsidRPr="0042384C">
        <w:rPr>
          <w:rFonts w:asciiTheme="majorHAnsi" w:hAnsiTheme="majorHAnsi" w:cs="Calibri"/>
        </w:rPr>
        <w:t xml:space="preserve"> (აქვე შეიძლება დავამატოთ, რომ ჯერ კიდევ 2018 წელს </w:t>
      </w:r>
      <w:r w:rsidR="003E3540" w:rsidRPr="0042384C">
        <w:rPr>
          <w:rFonts w:asciiTheme="majorHAnsi" w:hAnsiTheme="majorHAnsi" w:cs="Calibri"/>
        </w:rPr>
        <w:t xml:space="preserve">საქართველოს </w:t>
      </w:r>
      <w:r w:rsidR="00DA6499" w:rsidRPr="0042384C">
        <w:rPr>
          <w:rFonts w:asciiTheme="majorHAnsi" w:hAnsiTheme="majorHAnsi" w:cs="Calibri"/>
        </w:rPr>
        <w:t>ფინანსთა სამინისტროსა და ფინანსური მონიტორინგის სამსახურის სამუშაო შეხვედრის შემდეგ ამ უკანასკნელის მიერ მოხდა საბანკო დაწესებულებებთან  კ</w:t>
      </w:r>
      <w:r w:rsidR="001922B9">
        <w:rPr>
          <w:rFonts w:asciiTheme="majorHAnsi" w:hAnsiTheme="majorHAnsi" w:cs="Calibri"/>
        </w:rPr>
        <w:t>ონტაქტი - სადაც მათ ეცნობათ თიზ-</w:t>
      </w:r>
      <w:r w:rsidR="00DA6499" w:rsidRPr="0042384C">
        <w:rPr>
          <w:rFonts w:asciiTheme="majorHAnsi" w:hAnsiTheme="majorHAnsi" w:cs="Calibri"/>
        </w:rPr>
        <w:t>ებში დარეგისტრირებული სუბიექტების მიმართ მომატებული ყურადღების აუცილებლობის შესახებ).</w:t>
      </w:r>
      <w:r w:rsidRPr="0042384C">
        <w:rPr>
          <w:rFonts w:asciiTheme="majorHAnsi" w:hAnsiTheme="majorHAnsi" w:cs="Calibri"/>
        </w:rPr>
        <w:t xml:space="preserve"> </w:t>
      </w:r>
    </w:p>
    <w:p w14:paraId="11D81A83" w14:textId="17F24954" w:rsidR="003A7EAA" w:rsidRPr="0042384C" w:rsidRDefault="003A7EAA" w:rsidP="003F7CDA">
      <w:pPr>
        <w:ind w:firstLine="360"/>
        <w:jc w:val="both"/>
        <w:rPr>
          <w:rFonts w:asciiTheme="majorHAnsi" w:hAnsiTheme="majorHAnsi" w:cs="Calibri"/>
          <w:color w:val="FF0000"/>
        </w:rPr>
      </w:pPr>
      <w:r w:rsidRPr="0042384C">
        <w:rPr>
          <w:rFonts w:asciiTheme="majorHAnsi" w:hAnsiTheme="majorHAnsi" w:cs="Calibri"/>
        </w:rPr>
        <w:t>ზუსტი სტატისტიკა, თუ რამდენ საწარმოს აქვს ფიზიკური ადგილმდებარეობა თიზ-ში, არ არსებობს. თუმცა, როგორც შემოსავლების სამსახურის განმარტების, ისე საფინანსო სექტორის ზემოთ აღწერილი მიდგომების შედეგად, საწარმოებს რეალურად სჭირდებათ თიზ-ში ფიზიკური ადგილმდებარეობა იმისათვის, რომ ლიცენზია მიიღონ და  საფინანსო მომსახურებაზე წვდომა ჰქონდეთ - მაგ.</w:t>
      </w:r>
      <w:r w:rsidR="001922B9">
        <w:rPr>
          <w:rFonts w:asciiTheme="majorHAnsi" w:hAnsiTheme="majorHAnsi" w:cs="Calibri"/>
        </w:rPr>
        <w:t>,</w:t>
      </w:r>
      <w:r w:rsidRPr="0042384C">
        <w:rPr>
          <w:rFonts w:asciiTheme="majorHAnsi" w:hAnsiTheme="majorHAnsi" w:cs="Calibri"/>
        </w:rPr>
        <w:t xml:space="preserve"> თიზ-ის ტერიტორიაზე საწარმოს მშენებლობა საქონლის წარმოება-გადამუშავებისთვის ან საწყობის მშენებლობა/ქირაობა იმისათვის, რომ თიზ-ის ტერიტორიაზე შეტანილი ტვირთის დასაწყობება/გადაფუთვა განხორციელდეს შემდგომი იმპორტის მიზნით. ეს გარემ</w:t>
      </w:r>
      <w:r w:rsidR="001922B9">
        <w:rPr>
          <w:rFonts w:asciiTheme="majorHAnsi" w:hAnsiTheme="majorHAnsi" w:cs="Calibri"/>
        </w:rPr>
        <w:t>ოებები</w:t>
      </w:r>
      <w:r w:rsidRPr="0042384C">
        <w:rPr>
          <w:rFonts w:asciiTheme="majorHAnsi" w:hAnsiTheme="majorHAnsi" w:cs="Calibri"/>
        </w:rPr>
        <w:t xml:space="preserve"> მნიშვნელოვნად ამცირებს ფულის გათეთრების და ტერორიზმის დაფინანსების სხვადასხვა სქემებისთვის თიზ-ებში მოქმედ საწარმოთა გამოყენების რისკებს. </w:t>
      </w:r>
    </w:p>
    <w:p w14:paraId="2A7DCE13" w14:textId="77777777" w:rsidR="003A7EAA" w:rsidRPr="0042384C" w:rsidRDefault="003A7EAA" w:rsidP="003A7EAA">
      <w:pPr>
        <w:ind w:firstLine="360"/>
        <w:jc w:val="both"/>
        <w:rPr>
          <w:rFonts w:asciiTheme="majorHAnsi" w:hAnsiTheme="majorHAnsi" w:cs="Calibri"/>
        </w:rPr>
      </w:pPr>
      <w:r w:rsidRPr="0042384C">
        <w:rPr>
          <w:rFonts w:asciiTheme="majorHAnsi" w:hAnsiTheme="majorHAnsi" w:cs="Calibri"/>
        </w:rPr>
        <w:t>თიზ-ებში მოქმედ საწარმოთა ბრუნვა საკმაოდ მცირეა. საქართველო შედარებით მცირე მოცულობის ეკონომიკაა. 2023 წელს ქვეყნის მთლიანმა შიდა პროდუქტმა 80 მლრდ. ლარი (დაახლ. 30 მლრდ. აშშ დოლარი) შეადგინა, ხოლო საწარმოთა ჯამურმა ბრუნვამ 200 მლრდ. ლარს გადააჭარბა</w:t>
      </w:r>
      <w:r w:rsidR="00526113" w:rsidRPr="0042384C">
        <w:rPr>
          <w:rFonts w:asciiTheme="majorHAnsi" w:hAnsiTheme="majorHAnsi" w:cs="Calibri"/>
        </w:rPr>
        <w:t xml:space="preserve"> (წინასწარი მონაცემებით)</w:t>
      </w:r>
      <w:r w:rsidRPr="0042384C">
        <w:rPr>
          <w:rFonts w:asciiTheme="majorHAnsi" w:hAnsiTheme="majorHAnsi" w:cs="Calibri"/>
        </w:rPr>
        <w:t xml:space="preserve">. ამის ფონზე, თიზ-ში მოქმედ საწარმოთა ბრუნვამ 2023 წელს შეადგინა 287 მლნ. ლარი (დაახლ. 106 მლნ. აშშ დოლარი), რაც საწარმოთა ჯამური ბრუნვის მხოლოდ 0.15%-ია. </w:t>
      </w:r>
    </w:p>
    <w:p w14:paraId="37576CC2" w14:textId="77777777" w:rsidR="003A7EAA" w:rsidRPr="0042384C" w:rsidRDefault="003A7EAA" w:rsidP="003A7EAA">
      <w:pPr>
        <w:ind w:firstLine="360"/>
        <w:jc w:val="both"/>
        <w:rPr>
          <w:rFonts w:asciiTheme="majorHAnsi" w:hAnsiTheme="majorHAnsi" w:cs="Calibri"/>
        </w:rPr>
      </w:pPr>
    </w:p>
    <w:p w14:paraId="2FF41300" w14:textId="77777777" w:rsidR="003A7EAA" w:rsidRPr="0042384C" w:rsidRDefault="003A7EAA" w:rsidP="003A7EAA">
      <w:pPr>
        <w:ind w:firstLine="360"/>
        <w:jc w:val="both"/>
        <w:rPr>
          <w:rFonts w:asciiTheme="majorHAnsi" w:hAnsiTheme="majorHAnsi" w:cs="Calibri"/>
          <w:i/>
        </w:rPr>
      </w:pPr>
      <w:r w:rsidRPr="0042384C">
        <w:rPr>
          <w:rFonts w:asciiTheme="majorHAnsi" w:hAnsiTheme="majorHAnsi" w:cs="Calibri"/>
          <w:i/>
        </w:rPr>
        <w:t>თიზ-ებში მოქმედ საწარმოთა ბრუნვა</w:t>
      </w:r>
    </w:p>
    <w:p w14:paraId="4189B1EE" w14:textId="77777777" w:rsidR="003A7EAA" w:rsidRPr="0042384C" w:rsidRDefault="003A7EAA" w:rsidP="003A7EAA">
      <w:pPr>
        <w:ind w:firstLine="360"/>
        <w:jc w:val="both"/>
        <w:rPr>
          <w:rFonts w:asciiTheme="majorHAnsi" w:hAnsiTheme="majorHAnsi" w:cs="Calibri"/>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3882"/>
        <w:gridCol w:w="4499"/>
      </w:tblGrid>
      <w:tr w:rsidR="003A7EAA" w:rsidRPr="0042384C" w14:paraId="31689F73" w14:textId="77777777" w:rsidTr="00367742">
        <w:trPr>
          <w:trHeight w:val="375"/>
          <w:jc w:val="center"/>
        </w:trPr>
        <w:tc>
          <w:tcPr>
            <w:tcW w:w="3882" w:type="dxa"/>
            <w:shd w:val="clear" w:color="auto" w:fill="DEEAF6" w:themeFill="accent1" w:themeFillTint="33"/>
            <w:vAlign w:val="center"/>
          </w:tcPr>
          <w:p w14:paraId="5A7BC383" w14:textId="77777777" w:rsidR="003A7EAA" w:rsidRPr="0042384C" w:rsidRDefault="003A7EAA" w:rsidP="00367742">
            <w:pPr>
              <w:jc w:val="center"/>
              <w:rPr>
                <w:rFonts w:asciiTheme="majorHAnsi" w:hAnsiTheme="majorHAnsi" w:cs="Calibri"/>
                <w:b/>
              </w:rPr>
            </w:pPr>
            <w:r w:rsidRPr="0042384C">
              <w:rPr>
                <w:rFonts w:asciiTheme="majorHAnsi" w:hAnsiTheme="majorHAnsi" w:cs="Calibri"/>
                <w:b/>
              </w:rPr>
              <w:t>წელი</w:t>
            </w:r>
          </w:p>
        </w:tc>
        <w:tc>
          <w:tcPr>
            <w:tcW w:w="4499" w:type="dxa"/>
            <w:shd w:val="clear" w:color="auto" w:fill="DEEAF6" w:themeFill="accent1" w:themeFillTint="33"/>
            <w:vAlign w:val="center"/>
          </w:tcPr>
          <w:p w14:paraId="59086070" w14:textId="46880944" w:rsidR="003A7EAA" w:rsidRPr="0042384C" w:rsidRDefault="003A7EAA" w:rsidP="00D13625">
            <w:pPr>
              <w:jc w:val="center"/>
              <w:rPr>
                <w:rFonts w:asciiTheme="majorHAnsi" w:hAnsiTheme="majorHAnsi" w:cs="Calibri"/>
                <w:b/>
              </w:rPr>
            </w:pPr>
            <w:r w:rsidRPr="0042384C">
              <w:rPr>
                <w:rFonts w:asciiTheme="majorHAnsi" w:hAnsiTheme="majorHAnsi" w:cs="Calibri"/>
                <w:b/>
              </w:rPr>
              <w:t>ბრუნვა (ლარი)</w:t>
            </w:r>
          </w:p>
        </w:tc>
      </w:tr>
      <w:tr w:rsidR="003A7EAA" w:rsidRPr="0042384C" w14:paraId="55872E81" w14:textId="77777777" w:rsidTr="00367742">
        <w:trPr>
          <w:trHeight w:val="359"/>
          <w:jc w:val="center"/>
        </w:trPr>
        <w:tc>
          <w:tcPr>
            <w:tcW w:w="3882" w:type="dxa"/>
            <w:vAlign w:val="center"/>
          </w:tcPr>
          <w:p w14:paraId="15B9D4CC" w14:textId="77777777" w:rsidR="003A7EAA" w:rsidRPr="0042384C" w:rsidRDefault="003A7EAA" w:rsidP="001E0D3A">
            <w:pPr>
              <w:jc w:val="center"/>
              <w:rPr>
                <w:rFonts w:asciiTheme="majorHAnsi" w:hAnsiTheme="majorHAnsi" w:cs="Calibri"/>
              </w:rPr>
            </w:pPr>
            <w:r w:rsidRPr="0042384C">
              <w:rPr>
                <w:rFonts w:asciiTheme="majorHAnsi" w:hAnsiTheme="majorHAnsi" w:cs="Calibri"/>
              </w:rPr>
              <w:t>2023</w:t>
            </w:r>
          </w:p>
        </w:tc>
        <w:tc>
          <w:tcPr>
            <w:tcW w:w="4499" w:type="dxa"/>
            <w:vAlign w:val="center"/>
          </w:tcPr>
          <w:p w14:paraId="15255DAB" w14:textId="77777777" w:rsidR="003A7EAA" w:rsidRPr="0042384C" w:rsidRDefault="003A7EAA" w:rsidP="00367742">
            <w:pPr>
              <w:jc w:val="center"/>
              <w:rPr>
                <w:rFonts w:asciiTheme="majorHAnsi" w:hAnsiTheme="majorHAnsi" w:cs="Calibri"/>
                <w:bCs/>
                <w:color w:val="000000"/>
              </w:rPr>
            </w:pPr>
            <w:r w:rsidRPr="0042384C">
              <w:rPr>
                <w:rFonts w:asciiTheme="majorHAnsi" w:hAnsiTheme="majorHAnsi" w:cs="Calibri"/>
                <w:bCs/>
                <w:color w:val="000000"/>
              </w:rPr>
              <w:t>286,854,966</w:t>
            </w:r>
          </w:p>
        </w:tc>
      </w:tr>
      <w:tr w:rsidR="003A7EAA" w:rsidRPr="0042384C" w14:paraId="6282330C" w14:textId="77777777" w:rsidTr="00367742">
        <w:trPr>
          <w:trHeight w:val="341"/>
          <w:jc w:val="center"/>
        </w:trPr>
        <w:tc>
          <w:tcPr>
            <w:tcW w:w="3882" w:type="dxa"/>
            <w:vAlign w:val="center"/>
          </w:tcPr>
          <w:p w14:paraId="3E0FEC58" w14:textId="77777777" w:rsidR="003A7EAA" w:rsidRPr="0042384C" w:rsidRDefault="003A7EAA" w:rsidP="001E0D3A">
            <w:pPr>
              <w:jc w:val="center"/>
              <w:rPr>
                <w:rFonts w:asciiTheme="majorHAnsi" w:hAnsiTheme="majorHAnsi" w:cs="Calibri"/>
              </w:rPr>
            </w:pPr>
            <w:r w:rsidRPr="0042384C">
              <w:rPr>
                <w:rFonts w:asciiTheme="majorHAnsi" w:hAnsiTheme="majorHAnsi" w:cs="Calibri"/>
              </w:rPr>
              <w:t>2022</w:t>
            </w:r>
          </w:p>
        </w:tc>
        <w:tc>
          <w:tcPr>
            <w:tcW w:w="4499" w:type="dxa"/>
            <w:vAlign w:val="center"/>
          </w:tcPr>
          <w:p w14:paraId="03EAD1E0" w14:textId="77777777" w:rsidR="003A7EAA" w:rsidRPr="0042384C" w:rsidRDefault="003A7EAA" w:rsidP="00367742">
            <w:pPr>
              <w:jc w:val="center"/>
              <w:rPr>
                <w:rFonts w:asciiTheme="majorHAnsi" w:hAnsiTheme="majorHAnsi" w:cs="Calibri"/>
                <w:bCs/>
                <w:color w:val="000000"/>
              </w:rPr>
            </w:pPr>
            <w:r w:rsidRPr="0042384C">
              <w:rPr>
                <w:rFonts w:asciiTheme="majorHAnsi" w:hAnsiTheme="majorHAnsi" w:cs="Calibri"/>
                <w:bCs/>
                <w:color w:val="000000"/>
              </w:rPr>
              <w:t>150,303,099</w:t>
            </w:r>
          </w:p>
        </w:tc>
      </w:tr>
      <w:tr w:rsidR="003A7EAA" w:rsidRPr="0042384C" w14:paraId="7D1D8819" w14:textId="77777777" w:rsidTr="00367742">
        <w:trPr>
          <w:trHeight w:val="359"/>
          <w:jc w:val="center"/>
        </w:trPr>
        <w:tc>
          <w:tcPr>
            <w:tcW w:w="3882" w:type="dxa"/>
            <w:vAlign w:val="center"/>
          </w:tcPr>
          <w:p w14:paraId="37ED47CC" w14:textId="77777777" w:rsidR="003A7EAA" w:rsidRPr="0042384C" w:rsidRDefault="003A7EAA" w:rsidP="001E0D3A">
            <w:pPr>
              <w:jc w:val="center"/>
              <w:rPr>
                <w:rFonts w:asciiTheme="majorHAnsi" w:hAnsiTheme="majorHAnsi" w:cs="Calibri"/>
              </w:rPr>
            </w:pPr>
            <w:r w:rsidRPr="0042384C">
              <w:rPr>
                <w:rFonts w:asciiTheme="majorHAnsi" w:hAnsiTheme="majorHAnsi" w:cs="Calibri"/>
              </w:rPr>
              <w:t>2021</w:t>
            </w:r>
          </w:p>
        </w:tc>
        <w:tc>
          <w:tcPr>
            <w:tcW w:w="4499" w:type="dxa"/>
            <w:vAlign w:val="center"/>
          </w:tcPr>
          <w:p w14:paraId="24E8414A" w14:textId="77777777" w:rsidR="003A7EAA" w:rsidRPr="0042384C" w:rsidRDefault="003A7EAA" w:rsidP="00367742">
            <w:pPr>
              <w:jc w:val="center"/>
              <w:rPr>
                <w:rFonts w:asciiTheme="majorHAnsi" w:hAnsiTheme="majorHAnsi" w:cs="Calibri"/>
                <w:bCs/>
                <w:color w:val="000000"/>
              </w:rPr>
            </w:pPr>
            <w:r w:rsidRPr="0042384C">
              <w:rPr>
                <w:rFonts w:asciiTheme="majorHAnsi" w:hAnsiTheme="majorHAnsi" w:cs="Calibri"/>
                <w:bCs/>
                <w:color w:val="000000"/>
              </w:rPr>
              <w:t>142,460,715</w:t>
            </w:r>
          </w:p>
        </w:tc>
      </w:tr>
      <w:tr w:rsidR="003A7EAA" w:rsidRPr="0042384C" w14:paraId="629BE8F3" w14:textId="77777777" w:rsidTr="00367742">
        <w:trPr>
          <w:trHeight w:val="341"/>
          <w:jc w:val="center"/>
        </w:trPr>
        <w:tc>
          <w:tcPr>
            <w:tcW w:w="3882" w:type="dxa"/>
            <w:vAlign w:val="center"/>
          </w:tcPr>
          <w:p w14:paraId="70FB2D93" w14:textId="77777777" w:rsidR="003A7EAA" w:rsidRPr="0042384C" w:rsidRDefault="003A7EAA" w:rsidP="001E0D3A">
            <w:pPr>
              <w:jc w:val="center"/>
              <w:rPr>
                <w:rFonts w:asciiTheme="majorHAnsi" w:hAnsiTheme="majorHAnsi" w:cs="Calibri"/>
              </w:rPr>
            </w:pPr>
            <w:r w:rsidRPr="0042384C">
              <w:rPr>
                <w:rFonts w:asciiTheme="majorHAnsi" w:hAnsiTheme="majorHAnsi" w:cs="Calibri"/>
              </w:rPr>
              <w:t>2020</w:t>
            </w:r>
          </w:p>
        </w:tc>
        <w:tc>
          <w:tcPr>
            <w:tcW w:w="4499" w:type="dxa"/>
            <w:vAlign w:val="center"/>
          </w:tcPr>
          <w:p w14:paraId="6F106266" w14:textId="77777777" w:rsidR="003A7EAA" w:rsidRPr="0042384C" w:rsidRDefault="003A7EAA" w:rsidP="00367742">
            <w:pPr>
              <w:jc w:val="center"/>
              <w:rPr>
                <w:rFonts w:asciiTheme="majorHAnsi" w:hAnsiTheme="majorHAnsi" w:cs="Calibri"/>
                <w:bCs/>
                <w:color w:val="000000"/>
              </w:rPr>
            </w:pPr>
            <w:r w:rsidRPr="0042384C">
              <w:rPr>
                <w:rFonts w:asciiTheme="majorHAnsi" w:hAnsiTheme="majorHAnsi" w:cs="Calibri"/>
                <w:bCs/>
                <w:color w:val="000000"/>
              </w:rPr>
              <w:t>103,380,682</w:t>
            </w:r>
          </w:p>
        </w:tc>
      </w:tr>
      <w:tr w:rsidR="003A7EAA" w:rsidRPr="0042384C" w14:paraId="5D187530" w14:textId="77777777" w:rsidTr="00367742">
        <w:trPr>
          <w:trHeight w:val="359"/>
          <w:jc w:val="center"/>
        </w:trPr>
        <w:tc>
          <w:tcPr>
            <w:tcW w:w="3882" w:type="dxa"/>
            <w:shd w:val="clear" w:color="auto" w:fill="F2F2F2" w:themeFill="background1" w:themeFillShade="F2"/>
            <w:vAlign w:val="center"/>
          </w:tcPr>
          <w:p w14:paraId="1244A2E6" w14:textId="77777777" w:rsidR="003A7EAA" w:rsidRPr="0042384C" w:rsidRDefault="003A7EAA" w:rsidP="001E0D3A">
            <w:pPr>
              <w:jc w:val="center"/>
              <w:rPr>
                <w:rFonts w:asciiTheme="majorHAnsi" w:hAnsiTheme="majorHAnsi" w:cs="Calibri"/>
                <w:b/>
              </w:rPr>
            </w:pPr>
            <w:r w:rsidRPr="0042384C">
              <w:rPr>
                <w:rFonts w:asciiTheme="majorHAnsi" w:hAnsiTheme="majorHAnsi" w:cs="Calibri"/>
                <w:b/>
              </w:rPr>
              <w:t>ჯამი</w:t>
            </w:r>
          </w:p>
        </w:tc>
        <w:tc>
          <w:tcPr>
            <w:tcW w:w="4499" w:type="dxa"/>
            <w:shd w:val="clear" w:color="auto" w:fill="F2F2F2" w:themeFill="background1" w:themeFillShade="F2"/>
            <w:vAlign w:val="center"/>
          </w:tcPr>
          <w:p w14:paraId="6E2A0541" w14:textId="77777777" w:rsidR="003A7EAA" w:rsidRPr="0042384C" w:rsidRDefault="003A7EAA" w:rsidP="00367742">
            <w:pPr>
              <w:jc w:val="center"/>
              <w:rPr>
                <w:rFonts w:asciiTheme="majorHAnsi" w:hAnsiTheme="majorHAnsi" w:cs="Calibri"/>
                <w:b/>
                <w:bCs/>
                <w:color w:val="000000"/>
              </w:rPr>
            </w:pPr>
            <w:r w:rsidRPr="0042384C">
              <w:rPr>
                <w:rFonts w:asciiTheme="majorHAnsi" w:hAnsiTheme="majorHAnsi" w:cs="Calibri"/>
                <w:b/>
                <w:bCs/>
                <w:color w:val="000000"/>
              </w:rPr>
              <w:t>682,999,462</w:t>
            </w:r>
          </w:p>
        </w:tc>
      </w:tr>
    </w:tbl>
    <w:p w14:paraId="0E54A5E8" w14:textId="77777777" w:rsidR="003A7EAA" w:rsidRPr="0042384C" w:rsidRDefault="003A7EAA" w:rsidP="003A7EAA">
      <w:pPr>
        <w:ind w:firstLine="360"/>
        <w:jc w:val="both"/>
        <w:rPr>
          <w:rFonts w:asciiTheme="majorHAnsi" w:hAnsiTheme="majorHAnsi" w:cs="Calibri"/>
        </w:rPr>
      </w:pPr>
    </w:p>
    <w:p w14:paraId="606D653C" w14:textId="77777777" w:rsidR="003A7EAA" w:rsidRPr="0042384C" w:rsidRDefault="003A7EAA" w:rsidP="003A7EAA">
      <w:pPr>
        <w:jc w:val="both"/>
        <w:rPr>
          <w:rFonts w:asciiTheme="majorHAnsi" w:hAnsiTheme="majorHAnsi" w:cs="Calibri"/>
        </w:rPr>
      </w:pPr>
    </w:p>
    <w:p w14:paraId="5AAF9433" w14:textId="42EBAF51" w:rsidR="00CF52F5" w:rsidRPr="001922B9" w:rsidRDefault="003A7EAA" w:rsidP="001922B9">
      <w:pPr>
        <w:ind w:firstLine="360"/>
        <w:jc w:val="both"/>
        <w:rPr>
          <w:rFonts w:asciiTheme="majorHAnsi" w:hAnsiTheme="majorHAnsi" w:cs="Calibri"/>
        </w:rPr>
      </w:pPr>
      <w:r w:rsidRPr="0042384C">
        <w:rPr>
          <w:rFonts w:asciiTheme="majorHAnsi" w:hAnsiTheme="majorHAnsi" w:cs="Calibri"/>
        </w:rPr>
        <w:t xml:space="preserve">2020-2023 წლებში საქართველოს ფინანსური მონიტორინგის სამსახურის მიერ სხვა ქვეყნების ფინანსური დაზვერვის სამსახურებიდან მიღებულ ინფორმაციის </w:t>
      </w:r>
      <w:r w:rsidRPr="0042384C">
        <w:rPr>
          <w:rFonts w:asciiTheme="majorHAnsi" w:hAnsiTheme="majorHAnsi" w:cs="Calibri"/>
        </w:rPr>
        <w:lastRenderedPageBreak/>
        <w:t xml:space="preserve">წარდგენის მოთხოვნებში არ ფიქსირდება თიზ-ებში მოქმედი საწარმოები. ეს გარემოებები და ზემოთ ნახსენები თიზ-ების საკმაოდ მცირე ბრუნვა მიუთითებს იმაზე, რომ TBML მიზნით თიზ-ების გამოყენების რისკები არ არის არსებითი.  </w:t>
      </w:r>
    </w:p>
    <w:p w14:paraId="090A79CC" w14:textId="5A9A7DF3" w:rsidR="003A7EAA" w:rsidRPr="001922B9" w:rsidRDefault="003A7EAA" w:rsidP="001922B9">
      <w:pPr>
        <w:ind w:firstLine="360"/>
        <w:rPr>
          <w:rFonts w:asciiTheme="majorHAnsi" w:hAnsiTheme="majorHAnsi" w:cs="Calibri"/>
          <w:b/>
        </w:rPr>
      </w:pPr>
      <w:r w:rsidRPr="0042384C">
        <w:rPr>
          <w:rFonts w:asciiTheme="majorHAnsi" w:hAnsiTheme="majorHAnsi" w:cs="Calibri"/>
          <w:b/>
        </w:rPr>
        <w:t>2. უძრავი ქონების სექტორი</w:t>
      </w:r>
    </w:p>
    <w:p w14:paraId="00D2A7BD" w14:textId="559AF4D3" w:rsidR="003A7EAA" w:rsidRPr="0042384C" w:rsidRDefault="003A7EAA" w:rsidP="003F7CDA">
      <w:pPr>
        <w:ind w:firstLine="360"/>
        <w:jc w:val="both"/>
        <w:rPr>
          <w:rFonts w:asciiTheme="majorHAnsi" w:hAnsiTheme="majorHAnsi" w:cs="Calibri"/>
        </w:rPr>
      </w:pPr>
      <w:r w:rsidRPr="0042384C">
        <w:rPr>
          <w:rFonts w:asciiTheme="majorHAnsi" w:hAnsiTheme="majorHAnsi" w:cs="Calibri"/>
        </w:rPr>
        <w:t>2.1 ძირითადი მიგნებები</w:t>
      </w:r>
    </w:p>
    <w:p w14:paraId="53316187" w14:textId="40CA5292" w:rsidR="003A7EAA" w:rsidRPr="0042384C" w:rsidRDefault="003A7EAA" w:rsidP="003F7CDA">
      <w:pPr>
        <w:ind w:firstLine="360"/>
        <w:jc w:val="both"/>
        <w:rPr>
          <w:rFonts w:asciiTheme="majorHAnsi" w:hAnsiTheme="majorHAnsi" w:cs="Calibri"/>
        </w:rPr>
      </w:pPr>
      <w:r w:rsidRPr="0042384C">
        <w:rPr>
          <w:rFonts w:asciiTheme="majorHAnsi" w:hAnsiTheme="majorHAnsi" w:cs="Calibri"/>
        </w:rPr>
        <w:t>უძრავი ქონების სექტორი გამოირჩევა მაღალი თანდაყოლილი მოწყვლადობით ფულის გათეთრების და ტერორიზმის დაფინანსების დანაშაულის მიმართ. თუმცა, სხვადასხვა ფაქტორები განაპირობებს რისკების შემცირებას. მიუხედავად იმისა, რომ უძრავი ქონება საქართველოს ეკონომიკის მნიშნელოვანი სექტორია, მისი მასშტაბი და შემოსული უცხოური ინვესტიციები არ განიხილება როგორც მოცულობითი. ნაღდი ფულით ანგარიშსწორების შესაძლებლობა სექტორში არსებული რისკების მთავარი წყაროა. თუმცა, გარიგეგების დიდი ნაწილი სრულდება უნაღდო ანგაროშსწორებით, რასაც ადასტურებს ბანკების მიერ გაცემული იპოთეკური სესხების სტატისტიკაც. უძრავი ქონების აგენტების საქმიანობა საქართველოში არ რეგულირდება. თუმცა, ეს გარემოება არ განიხილება სექტორის მოწყვლადობის დიდ წყაროდ, რადგან მათი როლი უძრავი ქონების გარიგებებში შეზღუდულია</w:t>
      </w:r>
      <w:r w:rsidR="00CF52F5" w:rsidRPr="0042384C">
        <w:rPr>
          <w:rFonts w:asciiTheme="majorHAnsi" w:hAnsiTheme="majorHAnsi" w:cs="Calibri"/>
        </w:rPr>
        <w:t xml:space="preserve"> (ნებისმიერი გარიგების რეგისტრაცია ხდება საჯარო რეესტრის ეროვნულ ბიუროში)</w:t>
      </w:r>
      <w:r w:rsidRPr="0042384C">
        <w:rPr>
          <w:rFonts w:asciiTheme="majorHAnsi" w:hAnsiTheme="majorHAnsi" w:cs="Calibri"/>
        </w:rPr>
        <w:t>.</w:t>
      </w:r>
    </w:p>
    <w:p w14:paraId="2877475B" w14:textId="77777777" w:rsidR="003A7EAA" w:rsidRPr="0042384C" w:rsidRDefault="003A7EAA" w:rsidP="003A7EAA">
      <w:pPr>
        <w:ind w:firstLine="360"/>
        <w:jc w:val="both"/>
        <w:rPr>
          <w:rFonts w:asciiTheme="majorHAnsi" w:hAnsiTheme="majorHAnsi" w:cs="Calibri"/>
        </w:rPr>
      </w:pPr>
      <w:r w:rsidRPr="0042384C">
        <w:rPr>
          <w:rFonts w:asciiTheme="majorHAnsi" w:hAnsiTheme="majorHAnsi" w:cs="Calibri"/>
        </w:rPr>
        <w:t>აქედან გამო</w:t>
      </w:r>
      <w:r w:rsidR="00E349E4" w:rsidRPr="0042384C">
        <w:rPr>
          <w:rFonts w:asciiTheme="majorHAnsi" w:hAnsiTheme="majorHAnsi" w:cs="Calibri"/>
        </w:rPr>
        <w:t>მდინარე, უძრავი ქ</w:t>
      </w:r>
      <w:r w:rsidR="00B248B1" w:rsidRPr="0042384C">
        <w:rPr>
          <w:rFonts w:asciiTheme="majorHAnsi" w:hAnsiTheme="majorHAnsi" w:cs="Calibri"/>
        </w:rPr>
        <w:t>ონების სექტორ</w:t>
      </w:r>
      <w:r w:rsidRPr="0042384C">
        <w:rPr>
          <w:rFonts w:asciiTheme="majorHAnsi" w:hAnsiTheme="majorHAnsi" w:cs="Calibri"/>
        </w:rPr>
        <w:t xml:space="preserve">ში არსებული რისკები შეფასდა როგორც საშუალო. რისკების უკეთ მართვის მიზნით, რეკომენდებულია შემდეგი დამატებითი ზომების </w:t>
      </w:r>
      <w:r w:rsidR="00B248B1" w:rsidRPr="0042384C">
        <w:rPr>
          <w:rFonts w:asciiTheme="majorHAnsi" w:hAnsiTheme="majorHAnsi" w:cs="Calibri"/>
        </w:rPr>
        <w:t>განხილვა</w:t>
      </w:r>
      <w:r w:rsidRPr="0042384C">
        <w:rPr>
          <w:rFonts w:asciiTheme="majorHAnsi" w:hAnsiTheme="majorHAnsi" w:cs="Calibri"/>
        </w:rPr>
        <w:t xml:space="preserve">: </w:t>
      </w:r>
    </w:p>
    <w:p w14:paraId="02F93EFC" w14:textId="77777777" w:rsidR="003A7EAA" w:rsidRPr="0042384C" w:rsidRDefault="003A7EAA" w:rsidP="003A7EAA">
      <w:pPr>
        <w:ind w:firstLine="360"/>
        <w:jc w:val="both"/>
        <w:rPr>
          <w:rFonts w:asciiTheme="majorHAnsi" w:hAnsiTheme="majorHAnsi" w:cs="Calibri"/>
          <w:b/>
        </w:rPr>
      </w:pPr>
    </w:p>
    <w:p w14:paraId="2EF2039E" w14:textId="77777777" w:rsidR="003A7EAA" w:rsidRPr="0042384C" w:rsidRDefault="003A7EAA" w:rsidP="003A7EAA">
      <w:pPr>
        <w:pStyle w:val="ListParagraph"/>
        <w:numPr>
          <w:ilvl w:val="0"/>
          <w:numId w:val="5"/>
        </w:numPr>
        <w:jc w:val="both"/>
        <w:rPr>
          <w:rFonts w:asciiTheme="majorHAnsi" w:hAnsiTheme="majorHAnsi" w:cs="Calibri"/>
        </w:rPr>
      </w:pPr>
      <w:r w:rsidRPr="0042384C">
        <w:rPr>
          <w:rFonts w:asciiTheme="majorHAnsi" w:hAnsiTheme="majorHAnsi" w:cs="Calibri"/>
        </w:rPr>
        <w:t xml:space="preserve">ზუსტი სტატისტიკის წარმოება ნაღდი ფულით შესრულებულ უძრავი ქონების გარიგებებზე. </w:t>
      </w:r>
    </w:p>
    <w:p w14:paraId="1581957A" w14:textId="77777777" w:rsidR="003A7EAA" w:rsidRPr="0042384C" w:rsidRDefault="003A7EAA" w:rsidP="003A7EAA">
      <w:pPr>
        <w:pStyle w:val="ListParagraph"/>
        <w:numPr>
          <w:ilvl w:val="0"/>
          <w:numId w:val="5"/>
        </w:numPr>
        <w:jc w:val="both"/>
        <w:rPr>
          <w:rFonts w:asciiTheme="majorHAnsi" w:hAnsiTheme="majorHAnsi" w:cs="Calibri"/>
        </w:rPr>
      </w:pPr>
      <w:r w:rsidRPr="0042384C">
        <w:rPr>
          <w:rFonts w:asciiTheme="majorHAnsi" w:hAnsiTheme="majorHAnsi" w:cs="Calibri"/>
        </w:rPr>
        <w:t>ზუსტი სტატისტიკის წარმოება ბანკების და ნოტარიუსების მონაწილეობით შესრულებული უძრავი ქონების გარიგებების რაოდენობაზე, ღირებულებასა და მონაწილე მხარეებზე.</w:t>
      </w:r>
    </w:p>
    <w:p w14:paraId="275021F8" w14:textId="0689A7C3" w:rsidR="003A7EAA" w:rsidRPr="0042384C" w:rsidRDefault="003A7EAA" w:rsidP="003A7EAA">
      <w:pPr>
        <w:pStyle w:val="ListParagraph"/>
        <w:numPr>
          <w:ilvl w:val="0"/>
          <w:numId w:val="5"/>
        </w:numPr>
        <w:jc w:val="both"/>
        <w:rPr>
          <w:rFonts w:asciiTheme="majorHAnsi" w:hAnsiTheme="majorHAnsi" w:cs="Calibri"/>
        </w:rPr>
      </w:pPr>
      <w:r w:rsidRPr="0042384C">
        <w:rPr>
          <w:rFonts w:asciiTheme="majorHAnsi" w:hAnsiTheme="majorHAnsi" w:cs="Calibri"/>
        </w:rPr>
        <w:t>ინფორმაციის აღრიცხვა უძრავი ქონების აგენტების საქმიანობაზე და მათი მონაწილეობით შესრულებული უძრავი ქონების გარიგებების რაოდენობაზე, ღი</w:t>
      </w:r>
      <w:r w:rsidR="001A5FED" w:rsidRPr="0042384C">
        <w:rPr>
          <w:rFonts w:asciiTheme="majorHAnsi" w:hAnsiTheme="majorHAnsi" w:cs="Calibri"/>
        </w:rPr>
        <w:t>რებულებასა და მონაწილე მხარეებზე;</w:t>
      </w:r>
    </w:p>
    <w:p w14:paraId="0A2C4F81" w14:textId="30A2B14E" w:rsidR="003A7EAA" w:rsidRPr="001922B9" w:rsidRDefault="001A5FED" w:rsidP="001922B9">
      <w:pPr>
        <w:pStyle w:val="ListParagraph"/>
        <w:numPr>
          <w:ilvl w:val="0"/>
          <w:numId w:val="5"/>
        </w:numPr>
        <w:jc w:val="both"/>
        <w:rPr>
          <w:rFonts w:asciiTheme="majorHAnsi" w:hAnsiTheme="majorHAnsi" w:cs="Calibri"/>
        </w:rPr>
      </w:pPr>
      <w:r w:rsidRPr="0042384C">
        <w:rPr>
          <w:rFonts w:asciiTheme="majorHAnsi" w:hAnsiTheme="majorHAnsi" w:cs="Calibri"/>
        </w:rPr>
        <w:t>უძრავი ქონების მიმართულებით განხორციელებადი გარიგებების მხოლოდ საბანკო სფეროს მეშვეობით განხორციელება (აქ შესაძლოა რაიმე სახის ტრეშჰოლდის დაწესებაც).</w:t>
      </w:r>
    </w:p>
    <w:p w14:paraId="6511D09C" w14:textId="0825F06D" w:rsidR="009E1C05" w:rsidRPr="0042384C" w:rsidRDefault="003A7EAA" w:rsidP="003F7CDA">
      <w:pPr>
        <w:ind w:firstLine="360"/>
        <w:jc w:val="both"/>
        <w:rPr>
          <w:rFonts w:asciiTheme="majorHAnsi" w:hAnsiTheme="majorHAnsi" w:cs="Calibri"/>
        </w:rPr>
      </w:pPr>
      <w:r w:rsidRPr="0042384C">
        <w:rPr>
          <w:rFonts w:asciiTheme="majorHAnsi" w:hAnsiTheme="majorHAnsi" w:cs="Calibri"/>
        </w:rPr>
        <w:t>2.2 სექტორის მიმოხილვა</w:t>
      </w:r>
    </w:p>
    <w:p w14:paraId="79E47668" w14:textId="38CB29DD" w:rsidR="003A7EAA" w:rsidRPr="0042384C" w:rsidRDefault="003A7EAA" w:rsidP="003A7EAA">
      <w:pPr>
        <w:ind w:firstLine="360"/>
        <w:jc w:val="both"/>
        <w:rPr>
          <w:rFonts w:asciiTheme="majorHAnsi" w:hAnsiTheme="majorHAnsi" w:cs="Calibri"/>
        </w:rPr>
      </w:pPr>
      <w:r w:rsidRPr="0042384C">
        <w:rPr>
          <w:rFonts w:asciiTheme="majorHAnsi" w:hAnsiTheme="majorHAnsi" w:cs="Calibri"/>
        </w:rPr>
        <w:t xml:space="preserve">უძრავი ქონების სექტორთან დაკავშირებით, ქვემოთ მოცემული ანალიზის განსახორციელებლად, შესაბამისი სტატისტიკისა და სხვა ინფორმაციის </w:t>
      </w:r>
      <w:r w:rsidR="00DE103A" w:rsidRPr="0042384C">
        <w:rPr>
          <w:rFonts w:asciiTheme="majorHAnsi" w:hAnsiTheme="majorHAnsi" w:cs="Calibri"/>
        </w:rPr>
        <w:t>გამოთხოვა</w:t>
      </w:r>
      <w:r w:rsidRPr="0042384C">
        <w:rPr>
          <w:rFonts w:asciiTheme="majorHAnsi" w:hAnsiTheme="majorHAnsi" w:cs="Calibri"/>
        </w:rPr>
        <w:t xml:space="preserve"> მოხდა შემდეგი სტრუქტურებიდან:</w:t>
      </w:r>
    </w:p>
    <w:p w14:paraId="4C9F62D3" w14:textId="77777777" w:rsidR="003A7EAA" w:rsidRPr="0042384C" w:rsidRDefault="003A7EAA" w:rsidP="003A7EAA">
      <w:pPr>
        <w:ind w:firstLine="360"/>
        <w:jc w:val="both"/>
        <w:rPr>
          <w:rFonts w:asciiTheme="majorHAnsi" w:hAnsiTheme="majorHAnsi" w:cs="Calibri"/>
        </w:rPr>
      </w:pPr>
    </w:p>
    <w:p w14:paraId="199F19FD" w14:textId="77777777" w:rsidR="003A7EAA" w:rsidRPr="0042384C" w:rsidRDefault="003A7EAA" w:rsidP="003A7EAA">
      <w:pPr>
        <w:pStyle w:val="ListParagraph"/>
        <w:numPr>
          <w:ilvl w:val="0"/>
          <w:numId w:val="4"/>
        </w:numPr>
        <w:jc w:val="both"/>
        <w:rPr>
          <w:rFonts w:asciiTheme="majorHAnsi" w:hAnsiTheme="majorHAnsi" w:cs="Calibri"/>
        </w:rPr>
      </w:pPr>
      <w:r w:rsidRPr="0042384C">
        <w:rPr>
          <w:rFonts w:asciiTheme="majorHAnsi" w:hAnsiTheme="majorHAnsi" w:cs="Calibri"/>
        </w:rPr>
        <w:t>საქართველოს ფინანსური მონიტორინგის სამსახური.</w:t>
      </w:r>
    </w:p>
    <w:p w14:paraId="07B4B084" w14:textId="46068638" w:rsidR="003A7EAA" w:rsidRPr="0042384C" w:rsidRDefault="003A7EAA" w:rsidP="003A7EAA">
      <w:pPr>
        <w:pStyle w:val="ListParagraph"/>
        <w:numPr>
          <w:ilvl w:val="0"/>
          <w:numId w:val="4"/>
        </w:numPr>
        <w:jc w:val="both"/>
        <w:rPr>
          <w:rFonts w:asciiTheme="majorHAnsi" w:hAnsiTheme="majorHAnsi" w:cs="Calibri"/>
        </w:rPr>
      </w:pPr>
      <w:r w:rsidRPr="0042384C">
        <w:rPr>
          <w:rFonts w:asciiTheme="majorHAnsi" w:hAnsiTheme="majorHAnsi" w:cs="Calibri"/>
        </w:rPr>
        <w:t>საქართველოს სტატისტიკის ეროვნული სამსახური (</w:t>
      </w:r>
      <w:r w:rsidR="004D005D" w:rsidRPr="0042384C">
        <w:rPr>
          <w:rFonts w:asciiTheme="majorHAnsi" w:hAnsiTheme="majorHAnsi" w:cs="Calibri"/>
        </w:rPr>
        <w:t xml:space="preserve">შემდგომ </w:t>
      </w:r>
      <w:r w:rsidR="001922B9">
        <w:rPr>
          <w:rFonts w:asciiTheme="majorHAnsi" w:hAnsiTheme="majorHAnsi" w:cs="Calibri"/>
        </w:rPr>
        <w:t>−</w:t>
      </w:r>
      <w:r w:rsidR="004D005D" w:rsidRPr="0042384C">
        <w:rPr>
          <w:rFonts w:asciiTheme="majorHAnsi" w:hAnsiTheme="majorHAnsi" w:cs="Calibri"/>
        </w:rPr>
        <w:t xml:space="preserve"> „</w:t>
      </w:r>
      <w:r w:rsidRPr="0042384C">
        <w:rPr>
          <w:rFonts w:asciiTheme="majorHAnsi" w:hAnsiTheme="majorHAnsi" w:cs="Calibri"/>
        </w:rPr>
        <w:t>საქსტატი</w:t>
      </w:r>
      <w:r w:rsidR="004D005D" w:rsidRPr="0042384C">
        <w:rPr>
          <w:rFonts w:asciiTheme="majorHAnsi" w:hAnsiTheme="majorHAnsi" w:cs="Calibri"/>
        </w:rPr>
        <w:t>“</w:t>
      </w:r>
      <w:r w:rsidRPr="0042384C">
        <w:rPr>
          <w:rFonts w:asciiTheme="majorHAnsi" w:hAnsiTheme="majorHAnsi" w:cs="Calibri"/>
        </w:rPr>
        <w:t>).</w:t>
      </w:r>
    </w:p>
    <w:p w14:paraId="39E474DF" w14:textId="5E6B9FFD" w:rsidR="003A7EAA" w:rsidRPr="0042384C" w:rsidRDefault="003A7EAA" w:rsidP="003A7EAA">
      <w:pPr>
        <w:pStyle w:val="ListParagraph"/>
        <w:numPr>
          <w:ilvl w:val="0"/>
          <w:numId w:val="4"/>
        </w:numPr>
        <w:jc w:val="both"/>
        <w:rPr>
          <w:rFonts w:asciiTheme="majorHAnsi" w:hAnsiTheme="majorHAnsi" w:cs="Calibri"/>
        </w:rPr>
      </w:pPr>
      <w:r w:rsidRPr="0042384C">
        <w:rPr>
          <w:rFonts w:asciiTheme="majorHAnsi" w:eastAsia="Sylfaen" w:hAnsiTheme="majorHAnsi" w:cs="Calibri"/>
        </w:rPr>
        <w:t xml:space="preserve">საჯარო რეესტრის ეროვნული სააგენტო (შემდგომ </w:t>
      </w:r>
      <w:r w:rsidR="001922B9">
        <w:rPr>
          <w:rFonts w:asciiTheme="majorHAnsi" w:hAnsiTheme="majorHAnsi" w:cs="Calibri"/>
        </w:rPr>
        <w:t>−</w:t>
      </w:r>
      <w:r w:rsidRPr="0042384C">
        <w:rPr>
          <w:rFonts w:asciiTheme="majorHAnsi" w:eastAsia="Sylfaen" w:hAnsiTheme="majorHAnsi" w:cs="Calibri"/>
        </w:rPr>
        <w:t xml:space="preserve"> „საჯარო რეესტრი").</w:t>
      </w:r>
    </w:p>
    <w:p w14:paraId="0C645C57" w14:textId="77777777" w:rsidR="003A7EAA" w:rsidRPr="0042384C" w:rsidRDefault="003A7EAA" w:rsidP="003A7EAA">
      <w:pPr>
        <w:pStyle w:val="ListParagraph"/>
        <w:numPr>
          <w:ilvl w:val="0"/>
          <w:numId w:val="4"/>
        </w:numPr>
        <w:jc w:val="both"/>
        <w:rPr>
          <w:rFonts w:asciiTheme="majorHAnsi" w:hAnsiTheme="majorHAnsi" w:cs="Calibri"/>
        </w:rPr>
      </w:pPr>
      <w:r w:rsidRPr="0042384C">
        <w:rPr>
          <w:rFonts w:asciiTheme="majorHAnsi" w:hAnsiTheme="majorHAnsi" w:cs="Calibri"/>
        </w:rPr>
        <w:t>საქართველოს ეროვნული ბანკი.</w:t>
      </w:r>
    </w:p>
    <w:p w14:paraId="01373A78" w14:textId="77777777" w:rsidR="003A7EAA" w:rsidRPr="0042384C" w:rsidRDefault="003A7EAA" w:rsidP="003A7EAA">
      <w:pPr>
        <w:ind w:firstLine="360"/>
        <w:jc w:val="both"/>
        <w:rPr>
          <w:rFonts w:asciiTheme="majorHAnsi" w:hAnsiTheme="majorHAnsi" w:cs="Calibri"/>
        </w:rPr>
      </w:pPr>
    </w:p>
    <w:p w14:paraId="3ECABE4C" w14:textId="77777777" w:rsidR="003A7EAA" w:rsidRPr="0042384C" w:rsidRDefault="003A7EAA" w:rsidP="003A7EAA">
      <w:pPr>
        <w:ind w:firstLine="360"/>
        <w:jc w:val="both"/>
        <w:rPr>
          <w:rFonts w:asciiTheme="majorHAnsi" w:hAnsiTheme="majorHAnsi" w:cs="Calibri"/>
        </w:rPr>
      </w:pPr>
      <w:r w:rsidRPr="0042384C">
        <w:rPr>
          <w:rFonts w:asciiTheme="majorHAnsi" w:hAnsiTheme="majorHAnsi" w:cs="Calibri"/>
        </w:rPr>
        <w:lastRenderedPageBreak/>
        <w:t xml:space="preserve">საქართველოში უძრავი ქონების ბაზარი მზარდია. ბოლო წლებში იზრდებოდა უძრავ ქონებაზე საკუთრების უფლების სარეგისტრაციო ტრანზაქციების რაოდენობა. თუმცა, 2023 წელს ეს მონაცემი მცირედით შემცირდა. </w:t>
      </w:r>
    </w:p>
    <w:p w14:paraId="02F34600" w14:textId="77777777" w:rsidR="003A7EAA" w:rsidRPr="0042384C" w:rsidRDefault="003A7EAA" w:rsidP="003A7EAA">
      <w:pPr>
        <w:ind w:firstLine="360"/>
        <w:jc w:val="both"/>
        <w:rPr>
          <w:rFonts w:asciiTheme="majorHAnsi" w:hAnsiTheme="majorHAnsi" w:cs="Calibri"/>
        </w:rPr>
      </w:pPr>
    </w:p>
    <w:p w14:paraId="49D12B84" w14:textId="77777777" w:rsidR="003A7EAA" w:rsidRPr="0042384C" w:rsidRDefault="003A7EAA" w:rsidP="003A7EAA">
      <w:pPr>
        <w:ind w:firstLine="360"/>
        <w:jc w:val="both"/>
        <w:rPr>
          <w:rFonts w:asciiTheme="majorHAnsi" w:hAnsiTheme="majorHAnsi" w:cs="Calibri"/>
          <w:i/>
        </w:rPr>
      </w:pPr>
      <w:r w:rsidRPr="0042384C">
        <w:rPr>
          <w:rFonts w:asciiTheme="majorHAnsi" w:hAnsiTheme="majorHAnsi" w:cs="Calibri"/>
          <w:i/>
        </w:rPr>
        <w:t>უძრავი ქონების სარეგისტრაციო ტრანზაქციების რაოდენობა</w:t>
      </w:r>
    </w:p>
    <w:p w14:paraId="787F45A9" w14:textId="77777777" w:rsidR="003A7EAA" w:rsidRPr="0042384C" w:rsidRDefault="003A7EAA" w:rsidP="003A7EAA">
      <w:pPr>
        <w:ind w:firstLine="360"/>
        <w:jc w:val="both"/>
        <w:rPr>
          <w:rFonts w:asciiTheme="majorHAnsi" w:hAnsiTheme="majorHAnsi" w:cs="Calibri"/>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3225"/>
        <w:gridCol w:w="1890"/>
        <w:gridCol w:w="1800"/>
        <w:gridCol w:w="1607"/>
      </w:tblGrid>
      <w:tr w:rsidR="003A7EAA" w:rsidRPr="0042384C" w14:paraId="4F2BE88B" w14:textId="77777777" w:rsidTr="00367742">
        <w:trPr>
          <w:trHeight w:val="519"/>
          <w:jc w:val="center"/>
        </w:trPr>
        <w:tc>
          <w:tcPr>
            <w:tcW w:w="3225" w:type="dxa"/>
            <w:shd w:val="clear" w:color="auto" w:fill="DEEAF6" w:themeFill="accent1" w:themeFillTint="33"/>
            <w:vAlign w:val="center"/>
          </w:tcPr>
          <w:p w14:paraId="45A06C04" w14:textId="77777777" w:rsidR="003A7EAA" w:rsidRPr="0042384C" w:rsidRDefault="003A7EAA" w:rsidP="00367742">
            <w:pPr>
              <w:jc w:val="center"/>
              <w:rPr>
                <w:rFonts w:asciiTheme="majorHAnsi" w:hAnsiTheme="majorHAnsi" w:cs="Calibri"/>
                <w:b/>
              </w:rPr>
            </w:pPr>
            <w:r w:rsidRPr="0042384C">
              <w:rPr>
                <w:rFonts w:asciiTheme="majorHAnsi" w:hAnsiTheme="majorHAnsi" w:cs="Calibri"/>
                <w:b/>
              </w:rPr>
              <w:t>წელი</w:t>
            </w:r>
          </w:p>
        </w:tc>
        <w:tc>
          <w:tcPr>
            <w:tcW w:w="1890" w:type="dxa"/>
            <w:shd w:val="clear" w:color="auto" w:fill="F2F2F2" w:themeFill="background1" w:themeFillShade="F2"/>
            <w:vAlign w:val="center"/>
          </w:tcPr>
          <w:p w14:paraId="365CA69A" w14:textId="77777777" w:rsidR="003A7EAA" w:rsidRPr="0042384C" w:rsidRDefault="003A7EAA" w:rsidP="00367742">
            <w:pPr>
              <w:jc w:val="center"/>
              <w:rPr>
                <w:rFonts w:asciiTheme="majorHAnsi" w:hAnsiTheme="majorHAnsi" w:cs="Calibri"/>
              </w:rPr>
            </w:pPr>
            <w:r w:rsidRPr="0042384C">
              <w:rPr>
                <w:rFonts w:asciiTheme="majorHAnsi" w:hAnsiTheme="majorHAnsi" w:cs="Calibri"/>
              </w:rPr>
              <w:t>2021</w:t>
            </w:r>
          </w:p>
        </w:tc>
        <w:tc>
          <w:tcPr>
            <w:tcW w:w="1800" w:type="dxa"/>
            <w:shd w:val="clear" w:color="auto" w:fill="F2F2F2" w:themeFill="background1" w:themeFillShade="F2"/>
            <w:vAlign w:val="center"/>
          </w:tcPr>
          <w:p w14:paraId="1B7030EC" w14:textId="77777777" w:rsidR="003A7EAA" w:rsidRPr="0042384C" w:rsidRDefault="003A7EAA" w:rsidP="00367742">
            <w:pPr>
              <w:jc w:val="center"/>
              <w:rPr>
                <w:rFonts w:asciiTheme="majorHAnsi" w:hAnsiTheme="majorHAnsi" w:cs="Calibri"/>
              </w:rPr>
            </w:pPr>
            <w:r w:rsidRPr="0042384C">
              <w:rPr>
                <w:rFonts w:asciiTheme="majorHAnsi" w:hAnsiTheme="majorHAnsi" w:cs="Calibri"/>
              </w:rPr>
              <w:t>2022</w:t>
            </w:r>
          </w:p>
        </w:tc>
        <w:tc>
          <w:tcPr>
            <w:tcW w:w="1607" w:type="dxa"/>
            <w:shd w:val="clear" w:color="auto" w:fill="F2F2F2" w:themeFill="background1" w:themeFillShade="F2"/>
            <w:vAlign w:val="center"/>
          </w:tcPr>
          <w:p w14:paraId="3A119272" w14:textId="77777777" w:rsidR="003A7EAA" w:rsidRPr="0042384C" w:rsidRDefault="003A7EAA" w:rsidP="00367742">
            <w:pPr>
              <w:jc w:val="center"/>
              <w:rPr>
                <w:rFonts w:asciiTheme="majorHAnsi" w:hAnsiTheme="majorHAnsi" w:cs="Calibri"/>
              </w:rPr>
            </w:pPr>
            <w:r w:rsidRPr="0042384C">
              <w:rPr>
                <w:rFonts w:asciiTheme="majorHAnsi" w:hAnsiTheme="majorHAnsi" w:cs="Calibri"/>
              </w:rPr>
              <w:t>2023</w:t>
            </w:r>
          </w:p>
        </w:tc>
      </w:tr>
      <w:tr w:rsidR="003A7EAA" w:rsidRPr="0042384C" w14:paraId="4E372A0B" w14:textId="77777777" w:rsidTr="00367742">
        <w:trPr>
          <w:trHeight w:val="530"/>
          <w:jc w:val="center"/>
        </w:trPr>
        <w:tc>
          <w:tcPr>
            <w:tcW w:w="3225" w:type="dxa"/>
            <w:shd w:val="clear" w:color="auto" w:fill="DEEAF6" w:themeFill="accent1" w:themeFillTint="33"/>
            <w:vAlign w:val="center"/>
          </w:tcPr>
          <w:p w14:paraId="6285011F" w14:textId="77777777" w:rsidR="003A7EAA" w:rsidRPr="0042384C" w:rsidRDefault="003A7EAA" w:rsidP="00367742">
            <w:pPr>
              <w:jc w:val="center"/>
              <w:rPr>
                <w:rFonts w:asciiTheme="majorHAnsi" w:hAnsiTheme="majorHAnsi" w:cs="Calibri"/>
                <w:b/>
              </w:rPr>
            </w:pPr>
            <w:r w:rsidRPr="0042384C">
              <w:rPr>
                <w:rFonts w:asciiTheme="majorHAnsi" w:hAnsiTheme="majorHAnsi" w:cs="Calibri"/>
                <w:b/>
              </w:rPr>
              <w:t>ტრანზაქციები</w:t>
            </w:r>
          </w:p>
        </w:tc>
        <w:tc>
          <w:tcPr>
            <w:tcW w:w="1890" w:type="dxa"/>
            <w:vAlign w:val="center"/>
          </w:tcPr>
          <w:p w14:paraId="2389004B" w14:textId="77777777" w:rsidR="003A7EAA" w:rsidRPr="0042384C" w:rsidRDefault="003A7EAA" w:rsidP="00367742">
            <w:pPr>
              <w:jc w:val="center"/>
              <w:rPr>
                <w:rFonts w:asciiTheme="majorHAnsi" w:eastAsia="Sylfaen" w:hAnsiTheme="majorHAnsi" w:cs="Calibri"/>
              </w:rPr>
            </w:pPr>
            <w:r w:rsidRPr="0042384C">
              <w:rPr>
                <w:rFonts w:asciiTheme="majorHAnsi" w:eastAsia="Sylfaen" w:hAnsiTheme="majorHAnsi" w:cs="Calibri"/>
              </w:rPr>
              <w:t>206,584</w:t>
            </w:r>
          </w:p>
        </w:tc>
        <w:tc>
          <w:tcPr>
            <w:tcW w:w="1800" w:type="dxa"/>
            <w:vAlign w:val="center"/>
          </w:tcPr>
          <w:p w14:paraId="59DD04A7" w14:textId="77777777" w:rsidR="003A7EAA" w:rsidRPr="0042384C" w:rsidRDefault="003A7EAA" w:rsidP="00367742">
            <w:pPr>
              <w:jc w:val="center"/>
              <w:rPr>
                <w:rFonts w:asciiTheme="majorHAnsi" w:eastAsia="Sylfaen" w:hAnsiTheme="majorHAnsi" w:cs="Calibri"/>
              </w:rPr>
            </w:pPr>
            <w:r w:rsidRPr="0042384C">
              <w:rPr>
                <w:rFonts w:asciiTheme="majorHAnsi" w:eastAsia="Sylfaen" w:hAnsiTheme="majorHAnsi" w:cs="Calibri"/>
              </w:rPr>
              <w:t>217,657</w:t>
            </w:r>
          </w:p>
        </w:tc>
        <w:tc>
          <w:tcPr>
            <w:tcW w:w="1607" w:type="dxa"/>
            <w:vAlign w:val="center"/>
          </w:tcPr>
          <w:p w14:paraId="0F08587B" w14:textId="77777777" w:rsidR="003A7EAA" w:rsidRPr="0042384C" w:rsidRDefault="003A7EAA" w:rsidP="00367742">
            <w:pPr>
              <w:jc w:val="center"/>
              <w:rPr>
                <w:rFonts w:asciiTheme="majorHAnsi" w:eastAsia="Sylfaen" w:hAnsiTheme="majorHAnsi" w:cs="Calibri"/>
              </w:rPr>
            </w:pPr>
            <w:r w:rsidRPr="0042384C">
              <w:rPr>
                <w:rFonts w:asciiTheme="majorHAnsi" w:eastAsia="Sylfaen" w:hAnsiTheme="majorHAnsi" w:cs="Calibri"/>
              </w:rPr>
              <w:t>206,367</w:t>
            </w:r>
          </w:p>
        </w:tc>
      </w:tr>
    </w:tbl>
    <w:p w14:paraId="3554CD26" w14:textId="77777777" w:rsidR="003A7EAA" w:rsidRPr="0042384C" w:rsidRDefault="003A7EAA" w:rsidP="003A7EAA">
      <w:pPr>
        <w:ind w:firstLine="360"/>
        <w:jc w:val="both"/>
        <w:rPr>
          <w:rFonts w:asciiTheme="majorHAnsi" w:hAnsiTheme="majorHAnsi" w:cs="Calibri"/>
        </w:rPr>
      </w:pPr>
    </w:p>
    <w:p w14:paraId="114F0CE4" w14:textId="77777777" w:rsidR="003A7EAA" w:rsidRPr="0042384C" w:rsidRDefault="003A7EAA" w:rsidP="003A7EAA">
      <w:pPr>
        <w:ind w:firstLine="360"/>
        <w:jc w:val="both"/>
        <w:rPr>
          <w:rFonts w:asciiTheme="majorHAnsi" w:hAnsiTheme="majorHAnsi" w:cs="Calibri"/>
        </w:rPr>
      </w:pPr>
    </w:p>
    <w:p w14:paraId="55A98366" w14:textId="6DDBAC1B" w:rsidR="003A7EAA" w:rsidRPr="0042384C" w:rsidRDefault="003A7EAA" w:rsidP="003F7CDA">
      <w:pPr>
        <w:ind w:firstLine="360"/>
        <w:jc w:val="both"/>
        <w:rPr>
          <w:rFonts w:asciiTheme="majorHAnsi" w:eastAsia="Sylfaen" w:hAnsiTheme="majorHAnsi" w:cs="Calibri"/>
        </w:rPr>
      </w:pPr>
      <w:r w:rsidRPr="0042384C">
        <w:rPr>
          <w:rFonts w:asciiTheme="majorHAnsi" w:eastAsia="Sylfaen" w:hAnsiTheme="majorHAnsi" w:cs="Calibri"/>
        </w:rPr>
        <w:t xml:space="preserve">უძრავი ქონების სექტორში საშუამავლო საქმიანობის რეგულირება არ ხდება. ამის ერთ-ერთი მთავარი მიზეზი ისაა, რომ უძრავი ქონების აგენტების როლი უძრავ ქონებასთან დაკავშირებულ გარიგებებში/ტრანზაქციებში შეზღუდულია. კერძოდ, აგენტები არ განკარგავენ კლიენტების თანხებს და შესაბამისად, არ მონაწილეობენ ანგარიშსწორების პროცესში. </w:t>
      </w:r>
    </w:p>
    <w:p w14:paraId="44F206FF" w14:textId="3BB34A74" w:rsidR="003A7EAA" w:rsidRPr="0042384C" w:rsidRDefault="003A7EAA" w:rsidP="003F7CDA">
      <w:pPr>
        <w:ind w:firstLine="360"/>
        <w:jc w:val="both"/>
        <w:rPr>
          <w:rFonts w:asciiTheme="majorHAnsi" w:eastAsia="Sylfaen" w:hAnsiTheme="majorHAnsi" w:cs="Calibri"/>
        </w:rPr>
      </w:pPr>
      <w:r w:rsidRPr="0042384C">
        <w:rPr>
          <w:rFonts w:asciiTheme="majorHAnsi" w:eastAsia="Sylfaen" w:hAnsiTheme="majorHAnsi" w:cs="Calibri"/>
        </w:rPr>
        <w:t>უძრავი ქონების გარიგებების მომზადებისა და საკუთრებაში გადაცემისთვის საჭირო დოკუმენტაციის მომზადებ</w:t>
      </w:r>
      <w:r w:rsidR="005025A2" w:rsidRPr="0042384C">
        <w:rPr>
          <w:rFonts w:asciiTheme="majorHAnsi" w:eastAsia="Sylfaen" w:hAnsiTheme="majorHAnsi" w:cs="Calibri"/>
        </w:rPr>
        <w:t>ა</w:t>
      </w:r>
      <w:r w:rsidRPr="0042384C">
        <w:rPr>
          <w:rFonts w:asciiTheme="majorHAnsi" w:eastAsia="Sylfaen" w:hAnsiTheme="majorHAnsi" w:cs="Calibri"/>
        </w:rPr>
        <w:t>ს და სხვა შედარებით ფართო საკონსულტაციო მომსახურებას ახ</w:t>
      </w:r>
      <w:r w:rsidR="005025A2" w:rsidRPr="0042384C">
        <w:rPr>
          <w:rFonts w:asciiTheme="majorHAnsi" w:eastAsia="Sylfaen" w:hAnsiTheme="majorHAnsi" w:cs="Calibri"/>
        </w:rPr>
        <w:t>ო</w:t>
      </w:r>
      <w:r w:rsidRPr="0042384C">
        <w:rPr>
          <w:rFonts w:asciiTheme="majorHAnsi" w:eastAsia="Sylfaen" w:hAnsiTheme="majorHAnsi" w:cs="Calibri"/>
        </w:rPr>
        <w:t>რციელებს მხოლოდ რამდენიმე მსხვილი საერთაშორისო უძრავი ქონების კომპანია. ბაზარზე მოქმედი სხვა სუბიექტების (უძრავის ქონების აგენტების) აბსოლუტური უმეტესობა მცირე მეწარმეა და მიუხედავად რამდენიმე ასეული ასეთი სუბიექტისა, მათი ბრუნვა და საქმიანობის მასშტაბი მცირეა.</w:t>
      </w:r>
    </w:p>
    <w:p w14:paraId="14032D78" w14:textId="77777777" w:rsidR="003A7EAA" w:rsidRPr="0042384C" w:rsidRDefault="003A7EAA" w:rsidP="003A7EAA">
      <w:pPr>
        <w:ind w:firstLine="360"/>
        <w:jc w:val="both"/>
        <w:rPr>
          <w:rFonts w:asciiTheme="majorHAnsi" w:eastAsia="Sylfaen" w:hAnsiTheme="majorHAnsi" w:cs="Calibri"/>
          <w:i/>
        </w:rPr>
      </w:pPr>
      <w:r w:rsidRPr="0042384C">
        <w:rPr>
          <w:rFonts w:asciiTheme="majorHAnsi" w:eastAsia="Sylfaen" w:hAnsiTheme="majorHAnsi" w:cs="Calibri"/>
          <w:i/>
        </w:rPr>
        <w:t>უძრავი ქონების სააგენტოები</w:t>
      </w:r>
    </w:p>
    <w:p w14:paraId="58F41D59" w14:textId="77777777" w:rsidR="003A7EAA" w:rsidRPr="0042384C" w:rsidRDefault="003A7EAA" w:rsidP="003A7EAA">
      <w:pPr>
        <w:ind w:firstLine="360"/>
        <w:jc w:val="both"/>
        <w:rPr>
          <w:rFonts w:asciiTheme="majorHAnsi" w:eastAsia="Sylfaen" w:hAnsiTheme="majorHAnsi" w:cs="Calibri"/>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895"/>
        <w:gridCol w:w="1710"/>
        <w:gridCol w:w="1890"/>
        <w:gridCol w:w="1710"/>
      </w:tblGrid>
      <w:tr w:rsidR="003A7EAA" w:rsidRPr="0042384C" w14:paraId="4CE2DF19" w14:textId="77777777" w:rsidTr="00367742">
        <w:trPr>
          <w:trHeight w:val="483"/>
          <w:jc w:val="center"/>
        </w:trPr>
        <w:tc>
          <w:tcPr>
            <w:tcW w:w="2895" w:type="dxa"/>
            <w:shd w:val="clear" w:color="auto" w:fill="DEEAF6" w:themeFill="accent1" w:themeFillTint="33"/>
            <w:vAlign w:val="center"/>
          </w:tcPr>
          <w:p w14:paraId="2816C77C" w14:textId="77777777" w:rsidR="003A7EAA" w:rsidRPr="0042384C" w:rsidRDefault="003A7EAA" w:rsidP="00367742">
            <w:pPr>
              <w:jc w:val="center"/>
              <w:rPr>
                <w:rFonts w:asciiTheme="majorHAnsi" w:eastAsia="Sylfaen" w:hAnsiTheme="majorHAnsi" w:cs="Calibri"/>
                <w:b/>
              </w:rPr>
            </w:pPr>
            <w:r w:rsidRPr="0042384C">
              <w:rPr>
                <w:rFonts w:asciiTheme="majorHAnsi" w:eastAsia="Sylfaen" w:hAnsiTheme="majorHAnsi" w:cs="Calibri"/>
                <w:b/>
              </w:rPr>
              <w:t>წლები</w:t>
            </w:r>
          </w:p>
        </w:tc>
        <w:tc>
          <w:tcPr>
            <w:tcW w:w="1710" w:type="dxa"/>
            <w:shd w:val="clear" w:color="auto" w:fill="F2F2F2" w:themeFill="background1" w:themeFillShade="F2"/>
            <w:vAlign w:val="center"/>
          </w:tcPr>
          <w:p w14:paraId="0CEFA5F5" w14:textId="77777777" w:rsidR="003A7EAA" w:rsidRPr="0042384C" w:rsidRDefault="003A7EAA" w:rsidP="00367742">
            <w:pPr>
              <w:jc w:val="center"/>
              <w:rPr>
                <w:rFonts w:asciiTheme="majorHAnsi" w:eastAsia="Sylfaen" w:hAnsiTheme="majorHAnsi" w:cs="Calibri"/>
                <w:b/>
              </w:rPr>
            </w:pPr>
            <w:r w:rsidRPr="0042384C">
              <w:rPr>
                <w:rFonts w:asciiTheme="majorHAnsi" w:eastAsia="Sylfaen" w:hAnsiTheme="majorHAnsi" w:cs="Calibri"/>
                <w:b/>
              </w:rPr>
              <w:t>2021</w:t>
            </w:r>
          </w:p>
        </w:tc>
        <w:tc>
          <w:tcPr>
            <w:tcW w:w="1890" w:type="dxa"/>
            <w:shd w:val="clear" w:color="auto" w:fill="F2F2F2" w:themeFill="background1" w:themeFillShade="F2"/>
            <w:vAlign w:val="center"/>
          </w:tcPr>
          <w:p w14:paraId="60BE6D89" w14:textId="77777777" w:rsidR="003A7EAA" w:rsidRPr="0042384C" w:rsidRDefault="003A7EAA" w:rsidP="00367742">
            <w:pPr>
              <w:jc w:val="center"/>
              <w:rPr>
                <w:rFonts w:asciiTheme="majorHAnsi" w:eastAsia="Sylfaen" w:hAnsiTheme="majorHAnsi" w:cs="Calibri"/>
                <w:b/>
              </w:rPr>
            </w:pPr>
            <w:r w:rsidRPr="0042384C">
              <w:rPr>
                <w:rFonts w:asciiTheme="majorHAnsi" w:eastAsia="Sylfaen" w:hAnsiTheme="majorHAnsi" w:cs="Calibri"/>
                <w:b/>
              </w:rPr>
              <w:t>2022</w:t>
            </w:r>
          </w:p>
        </w:tc>
        <w:tc>
          <w:tcPr>
            <w:tcW w:w="1710" w:type="dxa"/>
            <w:shd w:val="clear" w:color="auto" w:fill="F2F2F2" w:themeFill="background1" w:themeFillShade="F2"/>
            <w:vAlign w:val="center"/>
          </w:tcPr>
          <w:p w14:paraId="047D1031" w14:textId="77777777" w:rsidR="003A7EAA" w:rsidRPr="0042384C" w:rsidRDefault="003A7EAA" w:rsidP="00367742">
            <w:pPr>
              <w:jc w:val="center"/>
              <w:rPr>
                <w:rFonts w:asciiTheme="majorHAnsi" w:eastAsia="Sylfaen" w:hAnsiTheme="majorHAnsi" w:cs="Calibri"/>
                <w:b/>
              </w:rPr>
            </w:pPr>
            <w:r w:rsidRPr="0042384C">
              <w:rPr>
                <w:rFonts w:asciiTheme="majorHAnsi" w:eastAsia="Sylfaen" w:hAnsiTheme="majorHAnsi" w:cs="Calibri"/>
                <w:b/>
              </w:rPr>
              <w:t>2023</w:t>
            </w:r>
          </w:p>
        </w:tc>
      </w:tr>
      <w:tr w:rsidR="003A7EAA" w:rsidRPr="0042384C" w14:paraId="220A6DF7" w14:textId="77777777" w:rsidTr="00367742">
        <w:trPr>
          <w:trHeight w:val="440"/>
          <w:jc w:val="center"/>
        </w:trPr>
        <w:tc>
          <w:tcPr>
            <w:tcW w:w="2895" w:type="dxa"/>
            <w:shd w:val="clear" w:color="auto" w:fill="DEEAF6" w:themeFill="accent1" w:themeFillTint="33"/>
            <w:vAlign w:val="center"/>
          </w:tcPr>
          <w:p w14:paraId="36959DDF" w14:textId="77777777" w:rsidR="003A7EAA" w:rsidRPr="0042384C" w:rsidRDefault="003A7EAA" w:rsidP="00367742">
            <w:pPr>
              <w:jc w:val="center"/>
              <w:rPr>
                <w:rFonts w:asciiTheme="majorHAnsi" w:eastAsia="Sylfaen" w:hAnsiTheme="majorHAnsi" w:cs="Calibri"/>
                <w:b/>
              </w:rPr>
            </w:pPr>
            <w:r w:rsidRPr="0042384C">
              <w:rPr>
                <w:rFonts w:asciiTheme="majorHAnsi" w:eastAsia="Sylfaen" w:hAnsiTheme="majorHAnsi" w:cs="Calibri"/>
                <w:b/>
              </w:rPr>
              <w:t>რაოდენობა</w:t>
            </w:r>
          </w:p>
        </w:tc>
        <w:tc>
          <w:tcPr>
            <w:tcW w:w="1710" w:type="dxa"/>
            <w:vAlign w:val="center"/>
          </w:tcPr>
          <w:p w14:paraId="24D63B0C" w14:textId="6BD84B58" w:rsidR="003A7EAA" w:rsidRPr="0042384C" w:rsidRDefault="003A7EAA" w:rsidP="00D13625">
            <w:pPr>
              <w:jc w:val="center"/>
              <w:rPr>
                <w:rFonts w:asciiTheme="majorHAnsi" w:eastAsia="Sylfaen" w:hAnsiTheme="majorHAnsi" w:cs="Calibri"/>
              </w:rPr>
            </w:pPr>
            <w:r w:rsidRPr="0042384C">
              <w:rPr>
                <w:rFonts w:asciiTheme="majorHAnsi" w:eastAsia="Sylfaen" w:hAnsiTheme="majorHAnsi" w:cs="Calibri"/>
              </w:rPr>
              <w:t>4</w:t>
            </w:r>
            <w:r w:rsidR="00D13625" w:rsidRPr="0042384C">
              <w:rPr>
                <w:rFonts w:asciiTheme="majorHAnsi" w:eastAsia="Sylfaen" w:hAnsiTheme="majorHAnsi" w:cs="Calibri"/>
              </w:rPr>
              <w:t>71</w:t>
            </w:r>
          </w:p>
        </w:tc>
        <w:tc>
          <w:tcPr>
            <w:tcW w:w="1890" w:type="dxa"/>
            <w:vAlign w:val="center"/>
          </w:tcPr>
          <w:p w14:paraId="49A3F654" w14:textId="63CF6069" w:rsidR="003A7EAA" w:rsidRPr="0042384C" w:rsidRDefault="00D13625" w:rsidP="00367742">
            <w:pPr>
              <w:jc w:val="center"/>
              <w:rPr>
                <w:rFonts w:asciiTheme="majorHAnsi" w:eastAsia="Sylfaen" w:hAnsiTheme="majorHAnsi" w:cs="Calibri"/>
              </w:rPr>
            </w:pPr>
            <w:r w:rsidRPr="0042384C">
              <w:rPr>
                <w:rFonts w:asciiTheme="majorHAnsi" w:eastAsia="Sylfaen" w:hAnsiTheme="majorHAnsi" w:cs="Calibri"/>
              </w:rPr>
              <w:t>646</w:t>
            </w:r>
          </w:p>
        </w:tc>
        <w:tc>
          <w:tcPr>
            <w:tcW w:w="1710" w:type="dxa"/>
            <w:vAlign w:val="center"/>
          </w:tcPr>
          <w:p w14:paraId="322DCC7C" w14:textId="77777777" w:rsidR="003A7EAA" w:rsidRPr="0042384C" w:rsidRDefault="003A7EAA" w:rsidP="00D13625">
            <w:pPr>
              <w:jc w:val="center"/>
              <w:rPr>
                <w:rFonts w:asciiTheme="majorHAnsi" w:eastAsia="Sylfaen" w:hAnsiTheme="majorHAnsi" w:cs="Calibri"/>
              </w:rPr>
            </w:pPr>
            <w:r w:rsidRPr="0042384C">
              <w:rPr>
                <w:rFonts w:asciiTheme="majorHAnsi" w:eastAsia="Sylfaen" w:hAnsiTheme="majorHAnsi" w:cs="Calibri"/>
              </w:rPr>
              <w:t>676</w:t>
            </w:r>
          </w:p>
        </w:tc>
      </w:tr>
    </w:tbl>
    <w:p w14:paraId="05296A0F" w14:textId="77777777" w:rsidR="003A7EAA" w:rsidRPr="0042384C" w:rsidRDefault="003A7EAA" w:rsidP="003A7EAA">
      <w:pPr>
        <w:ind w:firstLine="360"/>
        <w:jc w:val="both"/>
        <w:rPr>
          <w:rFonts w:asciiTheme="majorHAnsi" w:eastAsia="Sylfaen" w:hAnsiTheme="majorHAnsi" w:cs="Calibri"/>
        </w:rPr>
      </w:pPr>
    </w:p>
    <w:p w14:paraId="20D68650" w14:textId="77777777" w:rsidR="003A7EAA" w:rsidRPr="0042384C" w:rsidRDefault="003A7EAA" w:rsidP="003A7EAA">
      <w:pPr>
        <w:ind w:firstLine="360"/>
        <w:jc w:val="both"/>
        <w:rPr>
          <w:rFonts w:asciiTheme="majorHAnsi" w:hAnsiTheme="majorHAnsi" w:cs="Calibri"/>
        </w:rPr>
      </w:pPr>
    </w:p>
    <w:p w14:paraId="402C4A97" w14:textId="1371236C" w:rsidR="003A7EAA" w:rsidRPr="0042384C" w:rsidRDefault="003A7EAA" w:rsidP="003F7CDA">
      <w:pPr>
        <w:ind w:firstLine="360"/>
        <w:jc w:val="both"/>
        <w:rPr>
          <w:rFonts w:asciiTheme="majorHAnsi" w:hAnsiTheme="majorHAnsi" w:cs="Calibri"/>
        </w:rPr>
      </w:pPr>
      <w:r w:rsidRPr="0042384C">
        <w:rPr>
          <w:rFonts w:asciiTheme="majorHAnsi" w:hAnsiTheme="majorHAnsi" w:cs="Calibri"/>
        </w:rPr>
        <w:t xml:space="preserve">უძრავ ქონებაზე საკუთრების უფლების რეგისტრაციის პროცესში ნოტარიუსის მონაწილეობა სავალდებულო არ არის. </w:t>
      </w:r>
      <w:r w:rsidRPr="0042384C">
        <w:rPr>
          <w:rFonts w:asciiTheme="majorHAnsi" w:eastAsia="Sylfaen" w:hAnsiTheme="majorHAnsi" w:cs="Calibri"/>
        </w:rPr>
        <w:t>უძრავ ქონებაზე საკუთრების უფლების რეგისტრაციას (ყიდვა-გაყიდვა, ჩუქება და ა.შ.) ახორციელებს საჯარო რეესტრი. ინფორმაცია უძრავი ქონების მფლობელებსა და ყველა წარსულ ტრანზაქციაზე (მაგ.</w:t>
      </w:r>
      <w:r w:rsidR="001922B9">
        <w:rPr>
          <w:rFonts w:asciiTheme="majorHAnsi" w:eastAsia="Sylfaen" w:hAnsiTheme="majorHAnsi" w:cs="Calibri"/>
        </w:rPr>
        <w:t>,</w:t>
      </w:r>
      <w:r w:rsidRPr="0042384C">
        <w:rPr>
          <w:rFonts w:asciiTheme="majorHAnsi" w:eastAsia="Sylfaen" w:hAnsiTheme="majorHAnsi" w:cs="Calibri"/>
        </w:rPr>
        <w:t xml:space="preserve"> ნასყიდობა, იპოთეკა, ყადაღა) აისახება უძრავი ქონების რეესტრში, რომელიც საჯაროდ ხელმისაწვდომია ონლაინპორტალის მეშვეობით. </w:t>
      </w:r>
    </w:p>
    <w:p w14:paraId="0486E2CA" w14:textId="7668919D" w:rsidR="003A7EAA" w:rsidRPr="0042384C" w:rsidRDefault="003A7EAA" w:rsidP="003F7CDA">
      <w:pPr>
        <w:ind w:firstLine="360"/>
        <w:jc w:val="both"/>
        <w:rPr>
          <w:rFonts w:asciiTheme="majorHAnsi" w:eastAsia="Sylfaen" w:hAnsiTheme="majorHAnsi" w:cs="Calibri"/>
        </w:rPr>
      </w:pPr>
      <w:r w:rsidRPr="0042384C">
        <w:rPr>
          <w:rFonts w:asciiTheme="majorHAnsi" w:eastAsia="Sylfaen" w:hAnsiTheme="majorHAnsi" w:cs="Calibri"/>
        </w:rPr>
        <w:t>საქართველოში საინვესტიციო ბინადრობის ნებართვის მიღება შეუძლიათ უცხოელებს, თუ 300,000 აშშ დოლარის ღირებულების უძრავ ქონებას შეიძენენ. თუმცა, მოქალაქეობის მიღება მსხვილი ინვესტიციის სანაცვლოდ არ ხდება (ე.წ. ოქროს პასპორტი). ბინადრობის ნებართვაზე უარი</w:t>
      </w:r>
      <w:r w:rsidR="001E4137" w:rsidRPr="0042384C">
        <w:rPr>
          <w:rFonts w:asciiTheme="majorHAnsi" w:eastAsia="Sylfaen" w:hAnsiTheme="majorHAnsi" w:cs="Calibri"/>
        </w:rPr>
        <w:t>ს</w:t>
      </w:r>
      <w:r w:rsidRPr="0042384C">
        <w:rPr>
          <w:rFonts w:asciiTheme="majorHAnsi" w:eastAsia="Sylfaen" w:hAnsiTheme="majorHAnsi" w:cs="Calibri"/>
        </w:rPr>
        <w:t xml:space="preserve"> თქმის ერთ-ერთი საფუძველია ბოლო 5 წლის განმავლობაში მსჯავრდება ან ძებნის გამოცხადება მძიმე სისხლის სამართლის დანაშაულის ფაქტზე, მათ შორის</w:t>
      </w:r>
      <w:r w:rsidR="001922B9">
        <w:rPr>
          <w:rFonts w:asciiTheme="majorHAnsi" w:eastAsia="Sylfaen" w:hAnsiTheme="majorHAnsi" w:cs="Calibri"/>
        </w:rPr>
        <w:t>,</w:t>
      </w:r>
      <w:r w:rsidRPr="0042384C">
        <w:rPr>
          <w:rFonts w:asciiTheme="majorHAnsi" w:eastAsia="Sylfaen" w:hAnsiTheme="majorHAnsi" w:cs="Calibri"/>
        </w:rPr>
        <w:t xml:space="preserve"> ფულის გათეთრების ან ტერორიზმის დაფინანსებითვის.</w:t>
      </w:r>
    </w:p>
    <w:p w14:paraId="199807E7" w14:textId="16259881" w:rsidR="003A7EAA" w:rsidRPr="0042384C" w:rsidRDefault="003A7EAA" w:rsidP="003F7CDA">
      <w:pPr>
        <w:ind w:firstLine="360"/>
        <w:jc w:val="both"/>
        <w:rPr>
          <w:rFonts w:asciiTheme="majorHAnsi" w:hAnsiTheme="majorHAnsi" w:cs="Calibri"/>
        </w:rPr>
      </w:pPr>
      <w:r w:rsidRPr="0042384C">
        <w:rPr>
          <w:rFonts w:asciiTheme="majorHAnsi" w:hAnsiTheme="majorHAnsi" w:cs="Calibri"/>
        </w:rPr>
        <w:t>2.3 თანდაყოლილი რისკები</w:t>
      </w:r>
    </w:p>
    <w:p w14:paraId="0F034A11" w14:textId="24A73AC2" w:rsidR="003A7EAA" w:rsidRPr="0042384C" w:rsidRDefault="003A7EAA" w:rsidP="003F7CDA">
      <w:pPr>
        <w:ind w:firstLine="270"/>
        <w:jc w:val="both"/>
        <w:rPr>
          <w:rFonts w:asciiTheme="majorHAnsi" w:eastAsia="Sylfaen" w:hAnsiTheme="majorHAnsi" w:cs="Calibri"/>
        </w:rPr>
      </w:pPr>
      <w:r w:rsidRPr="0042384C">
        <w:rPr>
          <w:rFonts w:asciiTheme="majorHAnsi" w:eastAsia="Sylfaen" w:hAnsiTheme="majorHAnsi" w:cs="Calibri"/>
        </w:rPr>
        <w:lastRenderedPageBreak/>
        <w:t xml:space="preserve">უძრავი ქონების შესყიდვა უკანონო შემოსავლების ფორმალურ ეკონომიკაში ინტეგრაციის გავრცელებული მეთოდია. უძრავი ქონების მაღალი ფასი საშუალებას იძლევა, რომ მხოლოდ ერთი ტრანზაქციით მოხდეს დიდი თანხების გათეთრება. </w:t>
      </w:r>
      <w:r w:rsidRPr="0042384C">
        <w:rPr>
          <w:rFonts w:asciiTheme="majorHAnsi" w:hAnsiTheme="majorHAnsi" w:cs="Calibri"/>
        </w:rPr>
        <w:t>უძრავი ქონების სექტორთან დაკავშირებული თანდაყოლილი რისკების შეფასება განხორციელდა ისეთი რისკ-ფაქტორების საფუძველზე</w:t>
      </w:r>
      <w:r w:rsidR="001922B9">
        <w:rPr>
          <w:rFonts w:asciiTheme="majorHAnsi" w:hAnsiTheme="majorHAnsi" w:cs="Calibri"/>
        </w:rPr>
        <w:t>,</w:t>
      </w:r>
      <w:r w:rsidRPr="0042384C">
        <w:rPr>
          <w:rFonts w:asciiTheme="majorHAnsi" w:hAnsiTheme="majorHAnsi" w:cs="Calibri"/>
        </w:rPr>
        <w:t xml:space="preserve"> როგორიცაა:</w:t>
      </w:r>
    </w:p>
    <w:p w14:paraId="0C3D2374" w14:textId="77777777" w:rsidR="003A7EAA" w:rsidRPr="0042384C" w:rsidRDefault="003A7EAA" w:rsidP="003A7EAA">
      <w:pPr>
        <w:pStyle w:val="ListParagraph"/>
        <w:numPr>
          <w:ilvl w:val="0"/>
          <w:numId w:val="6"/>
        </w:numPr>
        <w:ind w:left="990"/>
        <w:jc w:val="both"/>
        <w:rPr>
          <w:rFonts w:asciiTheme="majorHAnsi" w:hAnsiTheme="majorHAnsi" w:cs="Calibri"/>
        </w:rPr>
      </w:pPr>
      <w:r w:rsidRPr="0042384C">
        <w:rPr>
          <w:rFonts w:asciiTheme="majorHAnsi" w:hAnsiTheme="majorHAnsi" w:cs="Calibri"/>
        </w:rPr>
        <w:t>უძრავი ქონების ბაზრის მოცულობა.</w:t>
      </w:r>
    </w:p>
    <w:p w14:paraId="2085D23D" w14:textId="77777777" w:rsidR="003A7EAA" w:rsidRPr="0042384C" w:rsidRDefault="003A7EAA" w:rsidP="003A7EAA">
      <w:pPr>
        <w:pStyle w:val="ListParagraph"/>
        <w:numPr>
          <w:ilvl w:val="0"/>
          <w:numId w:val="6"/>
        </w:numPr>
        <w:ind w:left="990"/>
        <w:jc w:val="both"/>
        <w:rPr>
          <w:rFonts w:asciiTheme="majorHAnsi" w:hAnsiTheme="majorHAnsi" w:cs="Calibri"/>
        </w:rPr>
      </w:pPr>
      <w:r w:rsidRPr="0042384C">
        <w:rPr>
          <w:rFonts w:asciiTheme="majorHAnsi" w:hAnsiTheme="majorHAnsi" w:cs="Calibri"/>
        </w:rPr>
        <w:t>უძრავი ქონების ბაზარზე უცხოური ინვესტიციები.</w:t>
      </w:r>
    </w:p>
    <w:p w14:paraId="48DF315F" w14:textId="77777777" w:rsidR="003A7EAA" w:rsidRPr="0042384C" w:rsidRDefault="003A7EAA" w:rsidP="003A7EAA">
      <w:pPr>
        <w:pStyle w:val="ListParagraph"/>
        <w:numPr>
          <w:ilvl w:val="0"/>
          <w:numId w:val="6"/>
        </w:numPr>
        <w:ind w:left="990"/>
        <w:jc w:val="both"/>
        <w:rPr>
          <w:rFonts w:asciiTheme="majorHAnsi" w:hAnsiTheme="majorHAnsi" w:cs="Calibri"/>
        </w:rPr>
      </w:pPr>
      <w:r w:rsidRPr="0042384C">
        <w:rPr>
          <w:rFonts w:asciiTheme="majorHAnsi" w:hAnsiTheme="majorHAnsi" w:cs="Calibri"/>
        </w:rPr>
        <w:t>ნაღდი ფულის გამოყენება უძრავი ქონების გარიგებებში.</w:t>
      </w:r>
    </w:p>
    <w:p w14:paraId="3575E0BB" w14:textId="77777777" w:rsidR="003A7EAA" w:rsidRPr="0042384C" w:rsidRDefault="003A7EAA" w:rsidP="003A7EAA">
      <w:pPr>
        <w:pStyle w:val="ListParagraph"/>
        <w:numPr>
          <w:ilvl w:val="0"/>
          <w:numId w:val="6"/>
        </w:numPr>
        <w:ind w:left="990"/>
        <w:jc w:val="both"/>
        <w:rPr>
          <w:rFonts w:asciiTheme="majorHAnsi" w:hAnsiTheme="majorHAnsi" w:cs="Calibri"/>
        </w:rPr>
      </w:pPr>
      <w:r w:rsidRPr="0042384C">
        <w:rPr>
          <w:rFonts w:asciiTheme="majorHAnsi" w:hAnsiTheme="majorHAnsi" w:cs="Calibri"/>
        </w:rPr>
        <w:t>რეგულირებადი პირების/ორგანიზაციების მონაწილეობა უძრავი ქონების გარიგებებში და მათი შესაბამისობის კონტროლის ფუნქციის სიძლიერე.</w:t>
      </w:r>
    </w:p>
    <w:p w14:paraId="063B29E6" w14:textId="77777777" w:rsidR="003A7EAA" w:rsidRPr="0042384C" w:rsidRDefault="003A7EAA" w:rsidP="003A7EAA">
      <w:pPr>
        <w:pStyle w:val="ListParagraph"/>
        <w:numPr>
          <w:ilvl w:val="0"/>
          <w:numId w:val="6"/>
        </w:numPr>
        <w:ind w:left="990"/>
        <w:jc w:val="both"/>
        <w:rPr>
          <w:rFonts w:asciiTheme="majorHAnsi" w:hAnsiTheme="majorHAnsi" w:cs="Calibri"/>
        </w:rPr>
      </w:pPr>
      <w:r w:rsidRPr="0042384C">
        <w:rPr>
          <w:rFonts w:asciiTheme="majorHAnsi" w:hAnsiTheme="majorHAnsi" w:cs="Calibri"/>
        </w:rPr>
        <w:t>უკანონო შემოსავლის ინვესტირება უძრავ ქონებაში.</w:t>
      </w:r>
    </w:p>
    <w:p w14:paraId="26C3065E" w14:textId="77777777" w:rsidR="003A7EAA" w:rsidRPr="0042384C" w:rsidRDefault="003A7EAA" w:rsidP="003A7EAA">
      <w:pPr>
        <w:jc w:val="both"/>
        <w:rPr>
          <w:rFonts w:asciiTheme="majorHAnsi" w:hAnsiTheme="majorHAnsi" w:cs="Calibri"/>
        </w:rPr>
      </w:pPr>
    </w:p>
    <w:p w14:paraId="544EAF42" w14:textId="4CA85B13" w:rsidR="003A7EAA" w:rsidRPr="0042384C" w:rsidRDefault="003A7EAA" w:rsidP="003F7CDA">
      <w:pPr>
        <w:ind w:firstLine="270"/>
        <w:jc w:val="both"/>
        <w:rPr>
          <w:rFonts w:asciiTheme="majorHAnsi" w:hAnsiTheme="majorHAnsi" w:cs="Calibri"/>
        </w:rPr>
      </w:pPr>
      <w:r w:rsidRPr="0042384C">
        <w:rPr>
          <w:rFonts w:asciiTheme="majorHAnsi" w:eastAsia="Sylfaen" w:hAnsiTheme="majorHAnsi" w:cs="Calibri"/>
        </w:rPr>
        <w:t xml:space="preserve">უძრავი ქონების ბაზარი ეკონომიკის მნიშვნელოვანი სექტორია. </w:t>
      </w:r>
      <w:r w:rsidRPr="0042384C">
        <w:rPr>
          <w:rFonts w:asciiTheme="majorHAnsi" w:hAnsiTheme="majorHAnsi" w:cs="Calibri"/>
        </w:rPr>
        <w:t>საქართველოში მოქმედი ბიზნეს სუბიექტების უძრავ ქონებასთან დაკავშირებული საქმიანობების ბრუნვამ 2022 წელს 1.7 მლრდ. ლარი (დაახლ. 630 მლნ. აშშ დოლარი) შეადგინა</w:t>
      </w:r>
      <w:r w:rsidRPr="0042384C">
        <w:rPr>
          <w:rStyle w:val="FootnoteReference"/>
          <w:rFonts w:asciiTheme="majorHAnsi" w:hAnsiTheme="majorHAnsi" w:cs="Calibri"/>
        </w:rPr>
        <w:footnoteReference w:id="3"/>
      </w:r>
      <w:r w:rsidRPr="0042384C">
        <w:rPr>
          <w:rFonts w:asciiTheme="majorHAnsi" w:hAnsiTheme="majorHAnsi" w:cs="Calibri"/>
        </w:rPr>
        <w:t xml:space="preserve">, რაც 2020 წელთან შედარებით 36.3%-იანი ზრდაა. </w:t>
      </w:r>
    </w:p>
    <w:p w14:paraId="69A66199" w14:textId="77777777" w:rsidR="002C28FA" w:rsidRPr="0042384C" w:rsidRDefault="003A7EAA" w:rsidP="002C28FA">
      <w:pPr>
        <w:ind w:firstLine="270"/>
        <w:jc w:val="both"/>
        <w:rPr>
          <w:rFonts w:asciiTheme="majorHAnsi" w:eastAsia="Sylfaen" w:hAnsiTheme="majorHAnsi" w:cs="Calibri"/>
        </w:rPr>
      </w:pPr>
      <w:r w:rsidRPr="0042384C">
        <w:rPr>
          <w:rFonts w:asciiTheme="majorHAnsi" w:eastAsia="Sylfaen" w:hAnsiTheme="majorHAnsi" w:cs="Calibri"/>
        </w:rPr>
        <w:t xml:space="preserve">უძრავი ქონების სექტორი ასევე იზიდავს უცხოურ ინვესტიციებს. თუმცა, 2023 წელს ამ სექტორში პირდაპირმა უცხოურმა ინვესტიციებმა ჯამში 59,7 მლნ. აშშ დოლარი შეადგინა, რაც სქართველოში ინვესტიციების საერთო მოცულობის მხოლოდ 3.7%-ია. </w:t>
      </w:r>
      <w:r w:rsidR="002C28FA" w:rsidRPr="0042384C">
        <w:rPr>
          <w:rFonts w:asciiTheme="majorHAnsi" w:eastAsia="Sylfaen" w:hAnsiTheme="majorHAnsi" w:cs="Calibri"/>
        </w:rPr>
        <w:t xml:space="preserve"> ასევე, 2023 წელს საინვესტიციო ბინადრობა, უძრავი ქონების ფლობის საფუძვლით, მხოლოდ 157 პირის მიმართ გაიცა, ხოლო 68 პირს უარი ეთქვა ასეთი ბინადრობის ნებართვის გაცემაზე.</w:t>
      </w:r>
      <w:r w:rsidR="002C28FA" w:rsidRPr="0042384C">
        <w:rPr>
          <w:rFonts w:asciiTheme="majorHAnsi" w:eastAsia="Sylfaen" w:hAnsiTheme="majorHAnsi"/>
          <w:sz w:val="22"/>
          <w:szCs w:val="16"/>
          <w:vertAlign w:val="superscript"/>
        </w:rPr>
        <w:footnoteReference w:id="4"/>
      </w:r>
      <w:r w:rsidR="002C28FA" w:rsidRPr="0042384C">
        <w:rPr>
          <w:rFonts w:asciiTheme="majorHAnsi" w:eastAsia="Sylfaen" w:hAnsiTheme="majorHAnsi" w:cs="Calibri"/>
        </w:rPr>
        <w:t xml:space="preserve"> შესაბამისად, უცხოური კაპიტალის ინტერესი ადგილობრივი უძრავი ქონების სექტორის მიმართ მცირეა.</w:t>
      </w:r>
    </w:p>
    <w:p w14:paraId="719FF57A" w14:textId="77777777" w:rsidR="003A7EAA" w:rsidRPr="0042384C" w:rsidRDefault="003A7EAA" w:rsidP="003A7EAA">
      <w:pPr>
        <w:ind w:firstLine="270"/>
        <w:jc w:val="both"/>
        <w:rPr>
          <w:rFonts w:asciiTheme="majorHAnsi" w:eastAsia="Sylfaen" w:hAnsiTheme="majorHAnsi" w:cs="Calibri"/>
        </w:rPr>
      </w:pPr>
    </w:p>
    <w:p w14:paraId="32FCD2FC" w14:textId="48A166EF" w:rsidR="003A7EAA" w:rsidRPr="0042384C" w:rsidRDefault="003A7EAA" w:rsidP="003F7CDA">
      <w:pPr>
        <w:ind w:firstLine="270"/>
        <w:jc w:val="both"/>
        <w:rPr>
          <w:rFonts w:asciiTheme="majorHAnsi" w:eastAsia="Sylfaen" w:hAnsiTheme="majorHAnsi" w:cs="Calibri"/>
        </w:rPr>
      </w:pPr>
      <w:r w:rsidRPr="0042384C">
        <w:rPr>
          <w:rFonts w:asciiTheme="majorHAnsi" w:eastAsia="Sylfaen" w:hAnsiTheme="majorHAnsi" w:cs="Calibri"/>
        </w:rPr>
        <w:t xml:space="preserve">უძრავი ქონების შეძენა შესაძლებელია ნაღდი ანგარიშსწორებით და ფინანსური სისტემის გვერდის ავლით. ნაღდი ანგარიშსწორება იძლევა ფასით მანიპულირების და ფულადი სახსრების წარმოშობის წყაროს შენიღბვის საშუალებას. ნაღდი ფულით განხორციელებული უძრავი ქონების გარიგებების რაოდენობისა და მოცულობის შესახებ ზუსტი </w:t>
      </w:r>
      <w:r w:rsidR="00B20B7D" w:rsidRPr="0042384C">
        <w:rPr>
          <w:rFonts w:asciiTheme="majorHAnsi" w:eastAsia="Sylfaen" w:hAnsiTheme="majorHAnsi" w:cs="Calibri"/>
        </w:rPr>
        <w:t xml:space="preserve">ინფორმაცია </w:t>
      </w:r>
      <w:r w:rsidRPr="0042384C">
        <w:rPr>
          <w:rFonts w:asciiTheme="majorHAnsi" w:eastAsia="Sylfaen" w:hAnsiTheme="majorHAnsi" w:cs="Calibri"/>
        </w:rPr>
        <w:t>არ არის ხელმისაწვდომი, რაც ამ სექტორში არსებული რისკების ერთ-ერთი მთავარი წყაროა.</w:t>
      </w:r>
    </w:p>
    <w:p w14:paraId="5977DF41" w14:textId="3E85EEBB" w:rsidR="003A7EAA" w:rsidRPr="0042384C" w:rsidRDefault="003A7EAA" w:rsidP="003F7CDA">
      <w:pPr>
        <w:ind w:firstLine="270"/>
        <w:jc w:val="both"/>
        <w:rPr>
          <w:rFonts w:asciiTheme="majorHAnsi" w:hAnsiTheme="majorHAnsi" w:cs="Calibri"/>
        </w:rPr>
      </w:pPr>
      <w:r w:rsidRPr="0042384C">
        <w:rPr>
          <w:rFonts w:asciiTheme="majorHAnsi" w:hAnsiTheme="majorHAnsi" w:cs="Calibri"/>
        </w:rPr>
        <w:t>უძრავი ქონების აგენტების საქმიანობა არ ექვემდებარება რეგულირებას და ზედამხედველობას ფულის გათეთრების და ტერორიზმის დაფინანსების სფეროში მოქმედი კანონმდებლობის შესაბამისად. თუმცა, ეს გარემოება არ განიხილება სექტორის მოწყვლადობის მნიშვნელ</w:t>
      </w:r>
      <w:r w:rsidR="001A5FED" w:rsidRPr="0042384C">
        <w:rPr>
          <w:rFonts w:asciiTheme="majorHAnsi" w:hAnsiTheme="majorHAnsi" w:cs="Calibri"/>
        </w:rPr>
        <w:t>ო</w:t>
      </w:r>
      <w:r w:rsidRPr="0042384C">
        <w:rPr>
          <w:rFonts w:asciiTheme="majorHAnsi" w:hAnsiTheme="majorHAnsi" w:cs="Calibri"/>
        </w:rPr>
        <w:t xml:space="preserve">ვან წყაროდ. ინფორმაცია უძრავი ქონების გარიგებების რაოდენობისა და ჯამური ღირებულების შესახებ, რომლებშიც აგენტები მონაწილეობენ, ხელმისაწვდომი არ არის. მიუხედავად ამისა, </w:t>
      </w:r>
      <w:r w:rsidRPr="0042384C">
        <w:rPr>
          <w:rFonts w:asciiTheme="majorHAnsi" w:eastAsia="Sylfaen" w:hAnsiTheme="majorHAnsi" w:cs="Calibri"/>
        </w:rPr>
        <w:t>კანონმდებლობა არ იძლევა იმის საშუალებას, რომ აგენტებმა თავიანთ კლიენტებს შესთავაზონ უძრავი ქონების ყიდვა-გაყიდვის პროცესში ანგარიშსწორების და საკუთრების რეგისტრაციის რისკის დაზღვევის ფინანსური ინსტრუმენტები (მაგ.</w:t>
      </w:r>
      <w:r w:rsidR="001922B9">
        <w:rPr>
          <w:rFonts w:asciiTheme="majorHAnsi" w:eastAsia="Sylfaen" w:hAnsiTheme="majorHAnsi" w:cs="Calibri"/>
        </w:rPr>
        <w:t>,</w:t>
      </w:r>
      <w:r w:rsidRPr="0042384C">
        <w:rPr>
          <w:rFonts w:asciiTheme="majorHAnsi" w:eastAsia="Sylfaen" w:hAnsiTheme="majorHAnsi" w:cs="Calibri"/>
        </w:rPr>
        <w:t xml:space="preserve"> ესქრო ანგარიში). შესაბამისად, აგენტების როლი უძრავი ქონების გარიგებებში </w:t>
      </w:r>
      <w:r w:rsidRPr="0042384C">
        <w:rPr>
          <w:rFonts w:asciiTheme="majorHAnsi" w:eastAsia="Sylfaen" w:hAnsiTheme="majorHAnsi" w:cs="Calibri"/>
        </w:rPr>
        <w:lastRenderedPageBreak/>
        <w:t xml:space="preserve">შემოიფარგლება მყიდველის და გამყიდველის ერთმანეთთან დაკავშირებით. კლიენტების მიერ მათთვის ფულადი სახსრების გადაცემა არ ხდება. ამასთან, ბოლო წლებში უძრავი ქონების აგენტები არ დაფიქსირებულან </w:t>
      </w:r>
      <w:r w:rsidR="005F6FC5" w:rsidRPr="0042384C">
        <w:rPr>
          <w:rFonts w:asciiTheme="majorHAnsi" w:eastAsia="Sylfaen" w:hAnsiTheme="majorHAnsi" w:cs="Calibri"/>
        </w:rPr>
        <w:t>საგამოძიებო</w:t>
      </w:r>
      <w:r w:rsidRPr="0042384C">
        <w:rPr>
          <w:rFonts w:asciiTheme="majorHAnsi" w:eastAsia="Sylfaen" w:hAnsiTheme="majorHAnsi" w:cs="Calibri"/>
        </w:rPr>
        <w:t xml:space="preserve"> ორგანოების მიერ ფულის გათეთრების და სხვა პრედიკატული დანაშაულების ფაქტებზე ჩატარებულ </w:t>
      </w:r>
      <w:r w:rsidR="005F6FC5" w:rsidRPr="0042384C">
        <w:rPr>
          <w:rFonts w:asciiTheme="majorHAnsi" w:eastAsia="Sylfaen" w:hAnsiTheme="majorHAnsi" w:cs="Calibri"/>
        </w:rPr>
        <w:t>გამოძიებებში</w:t>
      </w:r>
      <w:r w:rsidRPr="0042384C">
        <w:rPr>
          <w:rFonts w:asciiTheme="majorHAnsi" w:eastAsia="Sylfaen" w:hAnsiTheme="majorHAnsi" w:cs="Calibri"/>
        </w:rPr>
        <w:t xml:space="preserve"> და საქართველოს ფინანსური მონიტორინგის სამსახურში წარდგენილ ანგარიშგებებში.  </w:t>
      </w:r>
    </w:p>
    <w:p w14:paraId="6CC60294" w14:textId="72874C55" w:rsidR="003A7EAA" w:rsidRPr="0042384C" w:rsidRDefault="003A7EAA" w:rsidP="003F7CDA">
      <w:pPr>
        <w:ind w:firstLine="270"/>
        <w:jc w:val="both"/>
        <w:rPr>
          <w:rFonts w:asciiTheme="majorHAnsi" w:eastAsia="Sylfaen" w:hAnsiTheme="majorHAnsi" w:cs="Calibri"/>
        </w:rPr>
      </w:pPr>
      <w:r w:rsidRPr="0042384C">
        <w:rPr>
          <w:rFonts w:asciiTheme="majorHAnsi" w:eastAsia="Sylfaen" w:hAnsiTheme="majorHAnsi" w:cs="Calibri"/>
        </w:rPr>
        <w:t>საცხოვრებელი სახლები</w:t>
      </w:r>
      <w:r w:rsidR="005F6FC5" w:rsidRPr="0042384C">
        <w:rPr>
          <w:rFonts w:asciiTheme="majorHAnsi" w:eastAsia="Sylfaen" w:hAnsiTheme="majorHAnsi" w:cs="Calibri"/>
        </w:rPr>
        <w:t>/ბინები</w:t>
      </w:r>
      <w:r w:rsidRPr="0042384C">
        <w:rPr>
          <w:rFonts w:asciiTheme="majorHAnsi" w:eastAsia="Sylfaen" w:hAnsiTheme="majorHAnsi" w:cs="Calibri"/>
        </w:rPr>
        <w:t xml:space="preserve"> უფრო მოწყვლადია უკანონო შემოსავლის ინვესტირების მიმართ, ვიდრე კომერციული ფართ</w:t>
      </w:r>
      <w:r w:rsidR="005F6FC5" w:rsidRPr="0042384C">
        <w:rPr>
          <w:rFonts w:asciiTheme="majorHAnsi" w:eastAsia="Sylfaen" w:hAnsiTheme="majorHAnsi" w:cs="Calibri"/>
        </w:rPr>
        <w:t>ებ</w:t>
      </w:r>
      <w:r w:rsidRPr="0042384C">
        <w:rPr>
          <w:rFonts w:asciiTheme="majorHAnsi" w:eastAsia="Sylfaen" w:hAnsiTheme="majorHAnsi" w:cs="Calibri"/>
        </w:rPr>
        <w:t>ი. სახლის მესაკუთრე ხშირად იცვლება და მისი გადაყიდვაც ადვილია. ამას ადასტურებს საქართველოს ფინანსური მონიტორინგის სამსა</w:t>
      </w:r>
      <w:r w:rsidR="00BE15F5" w:rsidRPr="0042384C">
        <w:rPr>
          <w:rFonts w:asciiTheme="majorHAnsi" w:eastAsia="Sylfaen" w:hAnsiTheme="majorHAnsi" w:cs="Calibri"/>
        </w:rPr>
        <w:t>ხ</w:t>
      </w:r>
      <w:r w:rsidRPr="0042384C">
        <w:rPr>
          <w:rFonts w:asciiTheme="majorHAnsi" w:eastAsia="Sylfaen" w:hAnsiTheme="majorHAnsi" w:cs="Calibri"/>
        </w:rPr>
        <w:t xml:space="preserve">ურში გაგზავნილი </w:t>
      </w:r>
      <w:r w:rsidR="009B34EB" w:rsidRPr="0042384C">
        <w:rPr>
          <w:rFonts w:asciiTheme="majorHAnsi" w:eastAsia="Sylfaen" w:hAnsiTheme="majorHAnsi" w:cs="Calibri"/>
        </w:rPr>
        <w:t>ანგარიშგებები</w:t>
      </w:r>
      <w:r w:rsidRPr="0042384C">
        <w:rPr>
          <w:rFonts w:asciiTheme="majorHAnsi" w:eastAsia="Sylfaen" w:hAnsiTheme="majorHAnsi" w:cs="Calibri"/>
        </w:rPr>
        <w:t xml:space="preserve"> საეჭვო გარიგებების თაობ</w:t>
      </w:r>
      <w:r w:rsidR="009B34EB" w:rsidRPr="0042384C">
        <w:rPr>
          <w:rFonts w:asciiTheme="majorHAnsi" w:eastAsia="Sylfaen" w:hAnsiTheme="majorHAnsi" w:cs="Calibri"/>
        </w:rPr>
        <w:t>ა</w:t>
      </w:r>
      <w:r w:rsidRPr="0042384C">
        <w:rPr>
          <w:rFonts w:asciiTheme="majorHAnsi" w:eastAsia="Sylfaen" w:hAnsiTheme="majorHAnsi" w:cs="Calibri"/>
        </w:rPr>
        <w:t xml:space="preserve">ზე. </w:t>
      </w:r>
      <w:r w:rsidR="00BE15F5" w:rsidRPr="0042384C">
        <w:rPr>
          <w:rFonts w:asciiTheme="majorHAnsi" w:eastAsia="Sylfaen" w:hAnsiTheme="majorHAnsi" w:cs="Calibri"/>
        </w:rPr>
        <w:t>გარდა ამისა</w:t>
      </w:r>
      <w:r w:rsidRPr="0042384C">
        <w:rPr>
          <w:rFonts w:asciiTheme="majorHAnsi" w:eastAsia="Sylfaen" w:hAnsiTheme="majorHAnsi" w:cs="Calibri"/>
        </w:rPr>
        <w:t xml:space="preserve">, </w:t>
      </w:r>
      <w:r w:rsidR="00BE15F5" w:rsidRPr="0042384C">
        <w:rPr>
          <w:rFonts w:asciiTheme="majorHAnsi" w:eastAsia="Sylfaen" w:hAnsiTheme="majorHAnsi" w:cs="Calibri"/>
        </w:rPr>
        <w:t>ბოლო</w:t>
      </w:r>
      <w:r w:rsidRPr="0042384C">
        <w:rPr>
          <w:rFonts w:asciiTheme="majorHAnsi" w:eastAsia="Sylfaen" w:hAnsiTheme="majorHAnsi" w:cs="Calibri"/>
        </w:rPr>
        <w:t xml:space="preserve"> წლებში ფულის გათეთრების საქმეებში სასამართლოს მიერ ჩამორთმევას</w:t>
      </w:r>
      <w:r w:rsidR="009B34EB" w:rsidRPr="0042384C">
        <w:rPr>
          <w:rFonts w:asciiTheme="majorHAnsi" w:hAnsiTheme="majorHAnsi" w:cs="Calibri"/>
        </w:rPr>
        <w:t xml:space="preserve"> და</w:t>
      </w:r>
      <w:r w:rsidRPr="0042384C">
        <w:rPr>
          <w:rFonts w:asciiTheme="majorHAnsi" w:hAnsiTheme="majorHAnsi" w:cs="Calibri"/>
        </w:rPr>
        <w:t>ქვემდებარებული უძრავი ქონების ერთეულებიდან უმეტესობა საცხოვრებელი სახლი</w:t>
      </w:r>
      <w:r w:rsidR="009B34EB" w:rsidRPr="0042384C">
        <w:rPr>
          <w:rFonts w:asciiTheme="majorHAnsi" w:hAnsiTheme="majorHAnsi" w:cs="Calibri"/>
        </w:rPr>
        <w:t>/ბინა</w:t>
      </w:r>
      <w:r w:rsidRPr="0042384C">
        <w:rPr>
          <w:rFonts w:asciiTheme="majorHAnsi" w:hAnsiTheme="majorHAnsi" w:cs="Calibri"/>
        </w:rPr>
        <w:t xml:space="preserve"> იყო</w:t>
      </w:r>
      <w:r w:rsidRPr="0042384C">
        <w:rPr>
          <w:rFonts w:asciiTheme="majorHAnsi" w:eastAsia="Sylfaen" w:hAnsiTheme="majorHAnsi" w:cs="Calibri"/>
        </w:rPr>
        <w:t xml:space="preserve">. </w:t>
      </w:r>
    </w:p>
    <w:p w14:paraId="4096B516" w14:textId="34C0C181" w:rsidR="003A7EAA" w:rsidRPr="0042384C" w:rsidRDefault="003A7EAA" w:rsidP="003F7CDA">
      <w:pPr>
        <w:ind w:firstLine="360"/>
        <w:jc w:val="both"/>
        <w:rPr>
          <w:rFonts w:asciiTheme="majorHAnsi" w:hAnsiTheme="majorHAnsi" w:cs="Calibri"/>
        </w:rPr>
      </w:pPr>
      <w:r w:rsidRPr="0042384C">
        <w:rPr>
          <w:rFonts w:asciiTheme="majorHAnsi" w:hAnsiTheme="majorHAnsi" w:cs="Calibri"/>
        </w:rPr>
        <w:t>2.4 რისკების შემცირება</w:t>
      </w:r>
    </w:p>
    <w:p w14:paraId="58C57ED6" w14:textId="45AC5062" w:rsidR="003A7EAA" w:rsidRPr="0042384C" w:rsidRDefault="003A7EAA" w:rsidP="003F7CDA">
      <w:pPr>
        <w:ind w:firstLine="360"/>
        <w:jc w:val="both"/>
        <w:rPr>
          <w:rFonts w:asciiTheme="majorHAnsi" w:hAnsiTheme="majorHAnsi" w:cs="Calibri"/>
        </w:rPr>
      </w:pPr>
      <w:r w:rsidRPr="0042384C">
        <w:rPr>
          <w:rFonts w:asciiTheme="majorHAnsi" w:eastAsia="Sylfaen" w:hAnsiTheme="majorHAnsi" w:cs="Calibri"/>
        </w:rPr>
        <w:t>ინფორმაცია უძრავი ქონების გარიგებებზე საჯარო</w:t>
      </w:r>
      <w:r w:rsidR="00C77302" w:rsidRPr="0042384C">
        <w:rPr>
          <w:rFonts w:asciiTheme="majorHAnsi" w:eastAsia="Sylfaen" w:hAnsiTheme="majorHAnsi" w:cs="Calibri"/>
        </w:rPr>
        <w:t>დ</w:t>
      </w:r>
      <w:r w:rsidRPr="0042384C">
        <w:rPr>
          <w:rFonts w:asciiTheme="majorHAnsi" w:eastAsia="Sylfaen" w:hAnsiTheme="majorHAnsi" w:cs="Calibri"/>
        </w:rPr>
        <w:t xml:space="preserve"> ხელმისაწვდომია. უძრავი ქონების რეესტრის გამჭვირვალობის მაღალი ხარისხი ხელს უწყობს </w:t>
      </w:r>
      <w:r w:rsidRPr="0042384C">
        <w:rPr>
          <w:rFonts w:asciiTheme="majorHAnsi" w:hAnsiTheme="majorHAnsi" w:cs="Calibri"/>
        </w:rPr>
        <w:t xml:space="preserve">გამოძიების ორგანოებს იმაში, რომ ფულის გათეთრების </w:t>
      </w:r>
      <w:r w:rsidR="008C041C" w:rsidRPr="0042384C">
        <w:rPr>
          <w:rFonts w:asciiTheme="majorHAnsi" w:hAnsiTheme="majorHAnsi" w:cs="Calibri"/>
        </w:rPr>
        <w:t>და</w:t>
      </w:r>
      <w:r w:rsidRPr="0042384C">
        <w:rPr>
          <w:rFonts w:asciiTheme="majorHAnsi" w:hAnsiTheme="majorHAnsi" w:cs="Calibri"/>
        </w:rPr>
        <w:t xml:space="preserve"> სხვა დანაშაულების გამოძიების პროცესში მოიძიონ</w:t>
      </w:r>
      <w:r w:rsidR="008C041C" w:rsidRPr="0042384C">
        <w:rPr>
          <w:rFonts w:asciiTheme="majorHAnsi" w:hAnsiTheme="majorHAnsi" w:cs="Calibri"/>
        </w:rPr>
        <w:t xml:space="preserve"> უკანონოდ მოპოვებული </w:t>
      </w:r>
      <w:r w:rsidR="006F795E" w:rsidRPr="0042384C">
        <w:rPr>
          <w:rFonts w:asciiTheme="majorHAnsi" w:hAnsiTheme="majorHAnsi" w:cs="Calibri"/>
        </w:rPr>
        <w:t xml:space="preserve">ან/და უკანონო შემოსავლით შეძენილი </w:t>
      </w:r>
      <w:r w:rsidR="008C041C" w:rsidRPr="0042384C">
        <w:rPr>
          <w:rFonts w:asciiTheme="majorHAnsi" w:hAnsiTheme="majorHAnsi" w:cs="Calibri"/>
        </w:rPr>
        <w:t>ქონება</w:t>
      </w:r>
      <w:r w:rsidRPr="0042384C">
        <w:rPr>
          <w:rFonts w:asciiTheme="majorHAnsi" w:hAnsiTheme="majorHAnsi" w:cs="Calibri"/>
        </w:rPr>
        <w:t xml:space="preserve">. </w:t>
      </w:r>
    </w:p>
    <w:p w14:paraId="2ADF169C" w14:textId="2592F871" w:rsidR="003A7EAA" w:rsidRPr="0042384C" w:rsidRDefault="003A7EAA" w:rsidP="003F7CDA">
      <w:pPr>
        <w:ind w:firstLine="360"/>
        <w:jc w:val="both"/>
        <w:rPr>
          <w:rFonts w:asciiTheme="majorHAnsi" w:eastAsia="Sylfaen" w:hAnsiTheme="majorHAnsi" w:cs="Calibri"/>
        </w:rPr>
      </w:pPr>
      <w:r w:rsidRPr="0042384C">
        <w:rPr>
          <w:rFonts w:asciiTheme="majorHAnsi" w:eastAsia="Sylfaen" w:hAnsiTheme="majorHAnsi" w:cs="Calibri"/>
        </w:rPr>
        <w:t xml:space="preserve">საჯარო რეესტრი, რომელიც ახორციელებს უძრავ ქონებასთან დაკავშირებული გარიგებების რეგისტრაციას, ანგარიშვალდებული პირია „ფულის გათეთრებისა და ტერორიზმის დაფინანსების აღკვეთის ხელშეწყობის შესახებ“ საქართველოს კანონის შესაბამისად. </w:t>
      </w:r>
    </w:p>
    <w:p w14:paraId="4B732807" w14:textId="2E5B0074" w:rsidR="003A7EAA" w:rsidRPr="0042384C" w:rsidRDefault="003A7EAA" w:rsidP="003A7EAA">
      <w:pPr>
        <w:ind w:firstLine="360"/>
        <w:jc w:val="both"/>
        <w:rPr>
          <w:rFonts w:asciiTheme="majorHAnsi" w:eastAsia="Sylfaen" w:hAnsiTheme="majorHAnsi" w:cs="Calibri"/>
        </w:rPr>
      </w:pPr>
      <w:r w:rsidRPr="0042384C">
        <w:rPr>
          <w:rFonts w:asciiTheme="majorHAnsi" w:eastAsia="Sylfaen" w:hAnsiTheme="majorHAnsi" w:cs="Calibri"/>
        </w:rPr>
        <w:t xml:space="preserve">საჯარო რეესტრი ვალდებულია, დაადგინოს უძრავი ქონების გარიგების მხარეთა ვინაობა და გამოავლინოს </w:t>
      </w:r>
      <w:r w:rsidR="00893A3F" w:rsidRPr="0042384C">
        <w:rPr>
          <w:rFonts w:asciiTheme="majorHAnsi" w:eastAsia="Sylfaen" w:hAnsiTheme="majorHAnsi" w:cs="Calibri"/>
        </w:rPr>
        <w:t xml:space="preserve">საეჭვო </w:t>
      </w:r>
      <w:r w:rsidRPr="0042384C">
        <w:rPr>
          <w:rFonts w:asciiTheme="majorHAnsi" w:eastAsia="Sylfaen" w:hAnsiTheme="majorHAnsi" w:cs="Calibri"/>
        </w:rPr>
        <w:t xml:space="preserve">უძრავი ქონების ყიდვა-გაყიდვის და ჩუქების გარიგებები. გარდა ამისა, საჯარო რეესტრი ამოწმებს გარიგების მხარეებს გაეროს სანქციადაკისრებულ პირთა სიებში და უარს განაცხადებს გარიგების რეგისტრაციაზე ასეთი პირის გარიგებაში მონაწილეობის შემთხვევაში. </w:t>
      </w:r>
    </w:p>
    <w:p w14:paraId="1BD367B7" w14:textId="77777777" w:rsidR="003A7EAA" w:rsidRPr="0042384C" w:rsidRDefault="003A7EAA" w:rsidP="003A7EAA">
      <w:pPr>
        <w:ind w:firstLine="360"/>
        <w:jc w:val="both"/>
        <w:rPr>
          <w:rFonts w:asciiTheme="majorHAnsi" w:hAnsiTheme="majorHAnsi" w:cs="Calibri"/>
        </w:rPr>
      </w:pPr>
    </w:p>
    <w:p w14:paraId="35F7C18D" w14:textId="65D7CE6B" w:rsidR="003A7EAA" w:rsidRPr="0042384C" w:rsidRDefault="003A7EAA" w:rsidP="003F7CDA">
      <w:pPr>
        <w:ind w:firstLine="360"/>
        <w:jc w:val="both"/>
        <w:rPr>
          <w:rFonts w:asciiTheme="majorHAnsi" w:eastAsia="Sylfaen" w:hAnsiTheme="majorHAnsi" w:cs="Calibri"/>
        </w:rPr>
      </w:pPr>
      <w:r w:rsidRPr="0042384C">
        <w:rPr>
          <w:rFonts w:asciiTheme="majorHAnsi" w:eastAsia="Sylfaen" w:hAnsiTheme="majorHAnsi" w:cs="Calibri"/>
        </w:rPr>
        <w:t xml:space="preserve">მიუხედავად იმისა, რომ უძრავი ქონების შეძენა შესაძლებელია ნაღდი ფულით, უძრავი ქონების ყიდვა-გაყიდვის გარიგებების მნიშვნელოვანი ნაწილი კომერციული ბანკების მეშვეობით და შესაბამისად, უნაღდო ანგარიშსწორებით ხორციელდება, რაც ამცირებს მოწყვლადობის საერთო დონეს. 2023 წელს იპოთეკური სესხით უძრავი ქონების შესყიდვის წილმა უძრავი ქონების გარიგებების საერთო რაოდენობაში 47% პროცენტი შეადგინა. აქედან გამომდინარე, უძრავ ქონებასთან დაკავშირებული ტრანზაქციების დიდი რაოდენობა ბანკების ძლიერი შესაბამისობის კონტროლის ფუნქციის მიერ მოწმდება. </w:t>
      </w:r>
    </w:p>
    <w:p w14:paraId="7CC91177" w14:textId="77777777" w:rsidR="003A7EAA" w:rsidRPr="0042384C" w:rsidRDefault="003A7EAA" w:rsidP="003A7EAA">
      <w:pPr>
        <w:ind w:firstLine="360"/>
        <w:jc w:val="both"/>
        <w:rPr>
          <w:rFonts w:asciiTheme="majorHAnsi" w:eastAsia="Sylfaen" w:hAnsiTheme="majorHAnsi" w:cs="Calibri"/>
          <w:i/>
        </w:rPr>
      </w:pPr>
      <w:r w:rsidRPr="0042384C">
        <w:rPr>
          <w:rFonts w:asciiTheme="majorHAnsi" w:eastAsia="Sylfaen" w:hAnsiTheme="majorHAnsi" w:cs="Calibri"/>
          <w:i/>
        </w:rPr>
        <w:t>უძრავი ქონების ტრანზაქციების და იპოთეკური სესხების რაოდენობა</w:t>
      </w:r>
    </w:p>
    <w:p w14:paraId="48AFFADD" w14:textId="77777777" w:rsidR="003A7EAA" w:rsidRPr="0042384C" w:rsidRDefault="003A7EAA" w:rsidP="003A7EAA">
      <w:pPr>
        <w:jc w:val="both"/>
        <w:rPr>
          <w:rFonts w:asciiTheme="majorHAnsi" w:eastAsia="Sylfaen" w:hAnsiTheme="majorHAnsi" w:cs="Calibri"/>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965"/>
        <w:gridCol w:w="2070"/>
        <w:gridCol w:w="2250"/>
        <w:gridCol w:w="2021"/>
      </w:tblGrid>
      <w:tr w:rsidR="003A7EAA" w:rsidRPr="0042384C" w14:paraId="3D7302F4" w14:textId="77777777" w:rsidTr="00367742">
        <w:trPr>
          <w:trHeight w:val="483"/>
          <w:jc w:val="center"/>
        </w:trPr>
        <w:tc>
          <w:tcPr>
            <w:tcW w:w="1965" w:type="dxa"/>
            <w:shd w:val="clear" w:color="auto" w:fill="DEEAF6" w:themeFill="accent1" w:themeFillTint="33"/>
            <w:vAlign w:val="center"/>
          </w:tcPr>
          <w:p w14:paraId="2237DB36" w14:textId="77777777" w:rsidR="003A7EAA" w:rsidRPr="0042384C" w:rsidRDefault="003A7EAA" w:rsidP="00367742">
            <w:pPr>
              <w:jc w:val="center"/>
              <w:rPr>
                <w:rFonts w:asciiTheme="majorHAnsi" w:eastAsia="Sylfaen" w:hAnsiTheme="majorHAnsi" w:cs="Calibri"/>
                <w:b/>
              </w:rPr>
            </w:pPr>
            <w:r w:rsidRPr="0042384C">
              <w:rPr>
                <w:rFonts w:asciiTheme="majorHAnsi" w:eastAsia="Sylfaen" w:hAnsiTheme="majorHAnsi" w:cs="Calibri"/>
                <w:b/>
              </w:rPr>
              <w:t>წელი</w:t>
            </w:r>
          </w:p>
        </w:tc>
        <w:tc>
          <w:tcPr>
            <w:tcW w:w="2070" w:type="dxa"/>
            <w:shd w:val="clear" w:color="auto" w:fill="F2F2F2" w:themeFill="background1" w:themeFillShade="F2"/>
            <w:vAlign w:val="center"/>
          </w:tcPr>
          <w:p w14:paraId="53E161CF" w14:textId="77777777" w:rsidR="003A7EAA" w:rsidRPr="0042384C" w:rsidRDefault="003A7EAA" w:rsidP="00367742">
            <w:pPr>
              <w:jc w:val="center"/>
              <w:rPr>
                <w:rFonts w:asciiTheme="majorHAnsi" w:eastAsia="Sylfaen" w:hAnsiTheme="majorHAnsi" w:cs="Calibri"/>
                <w:b/>
              </w:rPr>
            </w:pPr>
            <w:r w:rsidRPr="0042384C">
              <w:rPr>
                <w:rFonts w:asciiTheme="majorHAnsi" w:eastAsia="Sylfaen" w:hAnsiTheme="majorHAnsi" w:cs="Calibri"/>
                <w:b/>
              </w:rPr>
              <w:t>2021</w:t>
            </w:r>
          </w:p>
        </w:tc>
        <w:tc>
          <w:tcPr>
            <w:tcW w:w="2250" w:type="dxa"/>
            <w:shd w:val="clear" w:color="auto" w:fill="F2F2F2" w:themeFill="background1" w:themeFillShade="F2"/>
            <w:vAlign w:val="center"/>
          </w:tcPr>
          <w:p w14:paraId="08722F13" w14:textId="77777777" w:rsidR="003A7EAA" w:rsidRPr="0042384C" w:rsidRDefault="003A7EAA" w:rsidP="00367742">
            <w:pPr>
              <w:jc w:val="center"/>
              <w:rPr>
                <w:rFonts w:asciiTheme="majorHAnsi" w:eastAsia="Sylfaen" w:hAnsiTheme="majorHAnsi" w:cs="Calibri"/>
                <w:b/>
              </w:rPr>
            </w:pPr>
            <w:r w:rsidRPr="0042384C">
              <w:rPr>
                <w:rFonts w:asciiTheme="majorHAnsi" w:eastAsia="Sylfaen" w:hAnsiTheme="majorHAnsi" w:cs="Calibri"/>
                <w:b/>
              </w:rPr>
              <w:t>2022</w:t>
            </w:r>
          </w:p>
        </w:tc>
        <w:tc>
          <w:tcPr>
            <w:tcW w:w="2021" w:type="dxa"/>
            <w:shd w:val="clear" w:color="auto" w:fill="F2F2F2" w:themeFill="background1" w:themeFillShade="F2"/>
            <w:vAlign w:val="center"/>
          </w:tcPr>
          <w:p w14:paraId="1F849C75" w14:textId="77777777" w:rsidR="003A7EAA" w:rsidRPr="0042384C" w:rsidRDefault="003A7EAA" w:rsidP="00367742">
            <w:pPr>
              <w:jc w:val="center"/>
              <w:rPr>
                <w:rFonts w:asciiTheme="majorHAnsi" w:eastAsia="Sylfaen" w:hAnsiTheme="majorHAnsi" w:cs="Calibri"/>
                <w:b/>
              </w:rPr>
            </w:pPr>
            <w:r w:rsidRPr="0042384C">
              <w:rPr>
                <w:rFonts w:asciiTheme="majorHAnsi" w:eastAsia="Sylfaen" w:hAnsiTheme="majorHAnsi" w:cs="Calibri"/>
                <w:b/>
              </w:rPr>
              <w:t>2023</w:t>
            </w:r>
          </w:p>
        </w:tc>
      </w:tr>
      <w:tr w:rsidR="003A7EAA" w:rsidRPr="0042384C" w14:paraId="5CA909DD" w14:textId="77777777" w:rsidTr="00367742">
        <w:trPr>
          <w:trHeight w:val="440"/>
          <w:jc w:val="center"/>
        </w:trPr>
        <w:tc>
          <w:tcPr>
            <w:tcW w:w="1965" w:type="dxa"/>
            <w:shd w:val="clear" w:color="auto" w:fill="DEEAF6" w:themeFill="accent1" w:themeFillTint="33"/>
            <w:vAlign w:val="center"/>
          </w:tcPr>
          <w:p w14:paraId="00452B4D" w14:textId="77777777" w:rsidR="003A7EAA" w:rsidRPr="0042384C" w:rsidRDefault="003A7EAA" w:rsidP="00367742">
            <w:pPr>
              <w:jc w:val="center"/>
              <w:rPr>
                <w:rFonts w:asciiTheme="majorHAnsi" w:eastAsia="Sylfaen" w:hAnsiTheme="majorHAnsi" w:cs="Calibri"/>
                <w:b/>
              </w:rPr>
            </w:pPr>
            <w:r w:rsidRPr="0042384C">
              <w:rPr>
                <w:rFonts w:asciiTheme="majorHAnsi" w:eastAsia="Sylfaen" w:hAnsiTheme="majorHAnsi" w:cs="Calibri"/>
                <w:b/>
              </w:rPr>
              <w:t>ტრანზაქციები</w:t>
            </w:r>
          </w:p>
        </w:tc>
        <w:tc>
          <w:tcPr>
            <w:tcW w:w="2070" w:type="dxa"/>
            <w:vAlign w:val="center"/>
          </w:tcPr>
          <w:p w14:paraId="789AE895" w14:textId="77777777" w:rsidR="003A7EAA" w:rsidRPr="0042384C" w:rsidRDefault="003A7EAA" w:rsidP="00367742">
            <w:pPr>
              <w:jc w:val="center"/>
              <w:rPr>
                <w:rFonts w:asciiTheme="majorHAnsi" w:eastAsia="Sylfaen" w:hAnsiTheme="majorHAnsi" w:cs="Calibri"/>
              </w:rPr>
            </w:pPr>
            <w:r w:rsidRPr="0042384C">
              <w:rPr>
                <w:rFonts w:asciiTheme="majorHAnsi" w:eastAsia="Sylfaen" w:hAnsiTheme="majorHAnsi" w:cs="Calibri"/>
              </w:rPr>
              <w:t>206,584</w:t>
            </w:r>
          </w:p>
        </w:tc>
        <w:tc>
          <w:tcPr>
            <w:tcW w:w="2250" w:type="dxa"/>
            <w:vAlign w:val="center"/>
          </w:tcPr>
          <w:p w14:paraId="69D9A47F" w14:textId="77777777" w:rsidR="003A7EAA" w:rsidRPr="0042384C" w:rsidRDefault="003A7EAA" w:rsidP="00367742">
            <w:pPr>
              <w:jc w:val="center"/>
              <w:rPr>
                <w:rFonts w:asciiTheme="majorHAnsi" w:eastAsia="Sylfaen" w:hAnsiTheme="majorHAnsi" w:cs="Calibri"/>
              </w:rPr>
            </w:pPr>
            <w:r w:rsidRPr="0042384C">
              <w:rPr>
                <w:rFonts w:asciiTheme="majorHAnsi" w:eastAsia="Sylfaen" w:hAnsiTheme="majorHAnsi" w:cs="Calibri"/>
              </w:rPr>
              <w:t>217,657</w:t>
            </w:r>
          </w:p>
        </w:tc>
        <w:tc>
          <w:tcPr>
            <w:tcW w:w="2021" w:type="dxa"/>
            <w:vAlign w:val="center"/>
          </w:tcPr>
          <w:p w14:paraId="5D889AD7" w14:textId="77777777" w:rsidR="003A7EAA" w:rsidRPr="0042384C" w:rsidRDefault="003A7EAA" w:rsidP="00367742">
            <w:pPr>
              <w:jc w:val="center"/>
              <w:rPr>
                <w:rFonts w:asciiTheme="majorHAnsi" w:eastAsia="Sylfaen" w:hAnsiTheme="majorHAnsi" w:cs="Calibri"/>
              </w:rPr>
            </w:pPr>
            <w:r w:rsidRPr="0042384C">
              <w:rPr>
                <w:rFonts w:asciiTheme="majorHAnsi" w:eastAsia="Sylfaen" w:hAnsiTheme="majorHAnsi" w:cs="Calibri"/>
              </w:rPr>
              <w:t>206,367</w:t>
            </w:r>
          </w:p>
        </w:tc>
      </w:tr>
      <w:tr w:rsidR="003A7EAA" w:rsidRPr="0042384C" w14:paraId="3CC4F9A7" w14:textId="77777777" w:rsidTr="00367742">
        <w:trPr>
          <w:trHeight w:val="440"/>
          <w:jc w:val="center"/>
        </w:trPr>
        <w:tc>
          <w:tcPr>
            <w:tcW w:w="1965" w:type="dxa"/>
            <w:shd w:val="clear" w:color="auto" w:fill="DEEAF6" w:themeFill="accent1" w:themeFillTint="33"/>
            <w:vAlign w:val="center"/>
          </w:tcPr>
          <w:p w14:paraId="5BEC425E" w14:textId="77777777" w:rsidR="003A7EAA" w:rsidRPr="0042384C" w:rsidRDefault="003A7EAA" w:rsidP="00367742">
            <w:pPr>
              <w:jc w:val="center"/>
              <w:rPr>
                <w:rFonts w:asciiTheme="majorHAnsi" w:eastAsia="Sylfaen" w:hAnsiTheme="majorHAnsi" w:cs="Calibri"/>
                <w:b/>
              </w:rPr>
            </w:pPr>
            <w:r w:rsidRPr="0042384C">
              <w:rPr>
                <w:rFonts w:asciiTheme="majorHAnsi" w:eastAsia="Sylfaen" w:hAnsiTheme="majorHAnsi" w:cs="Calibri"/>
                <w:b/>
              </w:rPr>
              <w:lastRenderedPageBreak/>
              <w:t>იპოთეკა</w:t>
            </w:r>
          </w:p>
        </w:tc>
        <w:tc>
          <w:tcPr>
            <w:tcW w:w="2070" w:type="dxa"/>
            <w:vAlign w:val="center"/>
          </w:tcPr>
          <w:p w14:paraId="11BAFD3F" w14:textId="77777777" w:rsidR="003A7EAA" w:rsidRPr="0042384C" w:rsidRDefault="003A7EAA" w:rsidP="00367742">
            <w:pPr>
              <w:jc w:val="center"/>
              <w:rPr>
                <w:rFonts w:asciiTheme="majorHAnsi" w:eastAsia="Sylfaen" w:hAnsiTheme="majorHAnsi" w:cs="Calibri"/>
              </w:rPr>
            </w:pPr>
            <w:r w:rsidRPr="0042384C">
              <w:rPr>
                <w:rFonts w:asciiTheme="majorHAnsi" w:eastAsia="Sylfaen" w:hAnsiTheme="majorHAnsi" w:cs="Calibri"/>
              </w:rPr>
              <w:t>84,118</w:t>
            </w:r>
          </w:p>
        </w:tc>
        <w:tc>
          <w:tcPr>
            <w:tcW w:w="2250" w:type="dxa"/>
            <w:vAlign w:val="center"/>
          </w:tcPr>
          <w:p w14:paraId="4D921F58" w14:textId="77777777" w:rsidR="003A7EAA" w:rsidRPr="0042384C" w:rsidRDefault="003A7EAA" w:rsidP="00367742">
            <w:pPr>
              <w:jc w:val="center"/>
              <w:rPr>
                <w:rFonts w:asciiTheme="majorHAnsi" w:eastAsia="Sylfaen" w:hAnsiTheme="majorHAnsi" w:cs="Calibri"/>
              </w:rPr>
            </w:pPr>
            <w:r w:rsidRPr="0042384C">
              <w:rPr>
                <w:rFonts w:asciiTheme="majorHAnsi" w:eastAsia="Sylfaen" w:hAnsiTheme="majorHAnsi" w:cs="Calibri"/>
              </w:rPr>
              <w:t>90,519</w:t>
            </w:r>
          </w:p>
        </w:tc>
        <w:tc>
          <w:tcPr>
            <w:tcW w:w="2021" w:type="dxa"/>
            <w:vAlign w:val="center"/>
          </w:tcPr>
          <w:p w14:paraId="79C95B6A" w14:textId="77777777" w:rsidR="003A7EAA" w:rsidRPr="0042384C" w:rsidRDefault="003A7EAA" w:rsidP="00367742">
            <w:pPr>
              <w:jc w:val="center"/>
              <w:rPr>
                <w:rFonts w:asciiTheme="majorHAnsi" w:eastAsia="Sylfaen" w:hAnsiTheme="majorHAnsi" w:cs="Calibri"/>
              </w:rPr>
            </w:pPr>
            <w:r w:rsidRPr="0042384C">
              <w:rPr>
                <w:rFonts w:asciiTheme="majorHAnsi" w:eastAsia="Sylfaen" w:hAnsiTheme="majorHAnsi" w:cs="Calibri"/>
              </w:rPr>
              <w:t>97,225</w:t>
            </w:r>
          </w:p>
        </w:tc>
      </w:tr>
    </w:tbl>
    <w:p w14:paraId="00DE6B0F" w14:textId="2316CA18" w:rsidR="003A7EAA" w:rsidRPr="0042384C" w:rsidRDefault="003A7EAA" w:rsidP="003F7CDA">
      <w:pPr>
        <w:jc w:val="both"/>
        <w:rPr>
          <w:rFonts w:asciiTheme="majorHAnsi" w:eastAsia="Sylfaen" w:hAnsiTheme="majorHAnsi" w:cs="Calibri"/>
        </w:rPr>
      </w:pPr>
    </w:p>
    <w:p w14:paraId="55267643" w14:textId="4DC715A3" w:rsidR="001E30A5" w:rsidRPr="0042384C" w:rsidRDefault="001E30A5" w:rsidP="003A7EAA">
      <w:pPr>
        <w:ind w:firstLine="270"/>
        <w:jc w:val="both"/>
        <w:rPr>
          <w:rFonts w:asciiTheme="majorHAnsi" w:eastAsia="Sylfaen" w:hAnsiTheme="majorHAnsi" w:cs="Calibri"/>
        </w:rPr>
      </w:pPr>
      <w:r w:rsidRPr="0042384C">
        <w:rPr>
          <w:rFonts w:asciiTheme="majorHAnsi" w:eastAsia="Sylfaen" w:hAnsiTheme="majorHAnsi" w:cs="Calibri"/>
        </w:rPr>
        <w:t>აღნიშნული ცხრილი მიუთითებს, რომ გარიგებათა საკმაოდ მნიშვნელოვანი პროცენტი (40 – 47%) იპოთეკურ სესხებზ</w:t>
      </w:r>
      <w:r w:rsidR="00893DB3" w:rsidRPr="0042384C">
        <w:rPr>
          <w:rFonts w:asciiTheme="majorHAnsi" w:eastAsia="Sylfaen" w:hAnsiTheme="majorHAnsi" w:cs="Calibri"/>
        </w:rPr>
        <w:t>ე</w:t>
      </w:r>
      <w:r w:rsidRPr="0042384C">
        <w:rPr>
          <w:rFonts w:asciiTheme="majorHAnsi" w:eastAsia="Sylfaen" w:hAnsiTheme="majorHAnsi" w:cs="Calibri"/>
        </w:rPr>
        <w:t xml:space="preserve"> მოდის, რაც საბანკო დაწესებულებების მხრიდან აუცილებელ კონტროლს ავტომატურად მოიცავს.</w:t>
      </w:r>
    </w:p>
    <w:p w14:paraId="5E035B9A" w14:textId="76A3E867" w:rsidR="00100AAE" w:rsidRPr="0042384C" w:rsidRDefault="003A7EAA" w:rsidP="003F7CDA">
      <w:pPr>
        <w:ind w:firstLine="270"/>
        <w:jc w:val="both"/>
        <w:rPr>
          <w:rFonts w:asciiTheme="majorHAnsi" w:eastAsia="Sylfaen" w:hAnsiTheme="majorHAnsi" w:cs="Calibri"/>
        </w:rPr>
      </w:pPr>
      <w:r w:rsidRPr="0042384C">
        <w:rPr>
          <w:rFonts w:asciiTheme="majorHAnsi" w:eastAsia="Sylfaen" w:hAnsiTheme="majorHAnsi" w:cs="Calibri"/>
        </w:rPr>
        <w:t>უძრავი ქონების ყიდვა-გაყიდვის და ჩუქების გარიგებების დამოწმებას აგრეთვე ახორციელებენ ნოტარიუსები. ნოტარიუსების მიერ დამოწმებული უძრავი ქონების გარიგებების ღირებულება უცნობია. თუმცა, ნოტარიუსებზე სრულად ვრცელდება „ფულის გათეთრებისა და ტერორიზმის დაფინანსების აღკვეთის ხელშეწყობის შესახებ“ საქართველოს კანონის მოთხოვნები. ეს ნიშნავს, რომ ყველა იმ უძრავი ქონების გარიგების მიმართ ხორციელდება სრულფასოვანი პრევენციული ღონისძიებები, რომლებსაც ნოტარიუსები ამოწმებენ. ნოტარიუსების საქმიანობა მკაცრად რეგულირდება და ექვემდებარება საქართველოს იუსტიციის სამინისტრო</w:t>
      </w:r>
      <w:r w:rsidR="005521F9" w:rsidRPr="0042384C">
        <w:rPr>
          <w:rFonts w:asciiTheme="majorHAnsi" w:eastAsia="Sylfaen" w:hAnsiTheme="majorHAnsi" w:cs="Calibri"/>
        </w:rPr>
        <w:t>ს</w:t>
      </w:r>
      <w:r w:rsidRPr="0042384C">
        <w:rPr>
          <w:rFonts w:asciiTheme="majorHAnsi" w:eastAsia="Sylfaen" w:hAnsiTheme="majorHAnsi" w:cs="Calibri"/>
        </w:rPr>
        <w:t xml:space="preserve"> ზედამხედველობას. ნოტარიუსები შესაბამისობის კონტროლის ფუნქცია განიხილება როგორც ადეკვატური.</w:t>
      </w:r>
    </w:p>
    <w:p w14:paraId="13535208" w14:textId="6DB582E3" w:rsidR="002E566C" w:rsidRPr="0042384C" w:rsidRDefault="0030687A" w:rsidP="003F7CDA">
      <w:pPr>
        <w:ind w:firstLine="270"/>
        <w:jc w:val="both"/>
        <w:rPr>
          <w:rFonts w:asciiTheme="majorHAnsi" w:eastAsia="Sylfaen" w:hAnsiTheme="majorHAnsi" w:cs="Calibri"/>
        </w:rPr>
      </w:pPr>
      <w:r w:rsidRPr="0042384C">
        <w:rPr>
          <w:rFonts w:asciiTheme="majorHAnsi" w:eastAsia="Sylfaen" w:hAnsiTheme="majorHAnsi" w:cs="Calibri"/>
        </w:rPr>
        <w:t xml:space="preserve">ნოტარიუსების მიერ დამოწმებული უძრავი ქონების გარიგებების რაოდენობა მცირეა, რადგან მხარეები უპირატესობას ანიჭებენ გარიგებების რეგისტრაციას პირდაპირ საჯარო რეესტრში (ძირითადად ხარჯების დაზოგვის მიზნით). ამასთან, ნოტარიუსების მიერ დამოწმებული </w:t>
      </w:r>
      <w:r w:rsidR="001A5FED" w:rsidRPr="0042384C">
        <w:rPr>
          <w:rFonts w:asciiTheme="majorHAnsi" w:eastAsia="Sylfaen" w:hAnsiTheme="majorHAnsi" w:cs="Calibri"/>
        </w:rPr>
        <w:t xml:space="preserve">ყველა </w:t>
      </w:r>
      <w:r w:rsidRPr="0042384C">
        <w:rPr>
          <w:rFonts w:asciiTheme="majorHAnsi" w:eastAsia="Sylfaen" w:hAnsiTheme="majorHAnsi" w:cs="Calibri"/>
        </w:rPr>
        <w:t>გარიგების რეგისტრაციაც საბოლოოდ ასევე საჯარო რეესტრში</w:t>
      </w:r>
      <w:r w:rsidR="00B76450" w:rsidRPr="0042384C">
        <w:rPr>
          <w:rFonts w:asciiTheme="majorHAnsi" w:eastAsia="Sylfaen" w:hAnsiTheme="majorHAnsi" w:cs="Calibri"/>
        </w:rPr>
        <w:t xml:space="preserve"> ხდება</w:t>
      </w:r>
      <w:r w:rsidR="001A5FED" w:rsidRPr="0042384C">
        <w:rPr>
          <w:rFonts w:asciiTheme="majorHAnsi" w:eastAsia="Sylfaen" w:hAnsiTheme="majorHAnsi" w:cs="Calibri"/>
        </w:rPr>
        <w:t xml:space="preserve"> (რაც უძრავი ქონების ბაზარზე რეესტრის გარდა სხვა რაიმე სახის მოთამაშის როლის პრაქტიკულად სრულ მინიმიზაციაზე მიუთითებს)</w:t>
      </w:r>
      <w:r w:rsidRPr="0042384C">
        <w:rPr>
          <w:rFonts w:asciiTheme="majorHAnsi" w:eastAsia="Sylfaen" w:hAnsiTheme="majorHAnsi" w:cs="Calibri"/>
        </w:rPr>
        <w:t xml:space="preserve">. </w:t>
      </w:r>
    </w:p>
    <w:p w14:paraId="607A6C28" w14:textId="77777777" w:rsidR="002E566C" w:rsidRPr="0042384C" w:rsidRDefault="002E566C" w:rsidP="00403BDD">
      <w:pPr>
        <w:ind w:firstLine="270"/>
        <w:jc w:val="both"/>
        <w:rPr>
          <w:rFonts w:asciiTheme="majorHAnsi" w:eastAsia="Sylfaen" w:hAnsiTheme="majorHAnsi" w:cs="Calibri"/>
        </w:rPr>
      </w:pPr>
    </w:p>
    <w:p w14:paraId="039D3881" w14:textId="77777777" w:rsidR="0030687A" w:rsidRPr="0042384C" w:rsidRDefault="0030687A" w:rsidP="00403BDD">
      <w:pPr>
        <w:ind w:firstLine="360"/>
        <w:jc w:val="both"/>
        <w:rPr>
          <w:rFonts w:asciiTheme="majorHAnsi" w:eastAsia="Sylfaen" w:hAnsiTheme="majorHAnsi" w:cs="Calibri"/>
          <w:i/>
        </w:rPr>
      </w:pPr>
      <w:r w:rsidRPr="0042384C">
        <w:rPr>
          <w:rFonts w:asciiTheme="majorHAnsi" w:eastAsia="Sylfaen" w:hAnsiTheme="majorHAnsi" w:cs="Calibri"/>
          <w:i/>
        </w:rPr>
        <w:t xml:space="preserve">ნოტარიუსების მიერ </w:t>
      </w:r>
      <w:r w:rsidR="0043188E" w:rsidRPr="0042384C">
        <w:rPr>
          <w:rFonts w:asciiTheme="majorHAnsi" w:eastAsia="Sylfaen" w:hAnsiTheme="majorHAnsi" w:cs="Calibri"/>
          <w:i/>
        </w:rPr>
        <w:t>დ</w:t>
      </w:r>
      <w:r w:rsidRPr="0042384C">
        <w:rPr>
          <w:rFonts w:asciiTheme="majorHAnsi" w:eastAsia="Sylfaen" w:hAnsiTheme="majorHAnsi" w:cs="Calibri"/>
          <w:i/>
        </w:rPr>
        <w:t>ამო</w:t>
      </w:r>
      <w:r w:rsidR="0043188E" w:rsidRPr="0042384C">
        <w:rPr>
          <w:rFonts w:asciiTheme="majorHAnsi" w:eastAsia="Sylfaen" w:hAnsiTheme="majorHAnsi" w:cs="Calibri"/>
          <w:i/>
        </w:rPr>
        <w:t>წ</w:t>
      </w:r>
      <w:r w:rsidRPr="0042384C">
        <w:rPr>
          <w:rFonts w:asciiTheme="majorHAnsi" w:eastAsia="Sylfaen" w:hAnsiTheme="majorHAnsi" w:cs="Calibri"/>
          <w:i/>
        </w:rPr>
        <w:t>მებული უძრავი ქონების გარიგებები</w:t>
      </w:r>
      <w:r w:rsidR="00CC3F15" w:rsidRPr="0042384C">
        <w:rPr>
          <w:rFonts w:asciiTheme="majorHAnsi" w:eastAsia="Sylfaen" w:hAnsiTheme="majorHAnsi" w:cs="Calibri"/>
          <w:i/>
        </w:rPr>
        <w:t>ს რაოდენობა</w:t>
      </w:r>
    </w:p>
    <w:p w14:paraId="418D6AAE" w14:textId="77777777" w:rsidR="0030687A" w:rsidRPr="0042384C" w:rsidRDefault="0030687A" w:rsidP="0030687A">
      <w:pPr>
        <w:jc w:val="both"/>
        <w:rPr>
          <w:rFonts w:asciiTheme="majorHAnsi" w:eastAsia="Sylfaen" w:hAnsiTheme="majorHAnsi" w:cs="Calibri"/>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3495"/>
        <w:gridCol w:w="1710"/>
        <w:gridCol w:w="1620"/>
        <w:gridCol w:w="1481"/>
      </w:tblGrid>
      <w:tr w:rsidR="0030687A" w:rsidRPr="0042384C" w14:paraId="79401AA2" w14:textId="77777777" w:rsidTr="00403BDD">
        <w:trPr>
          <w:trHeight w:val="483"/>
          <w:jc w:val="center"/>
        </w:trPr>
        <w:tc>
          <w:tcPr>
            <w:tcW w:w="3495" w:type="dxa"/>
            <w:shd w:val="clear" w:color="auto" w:fill="DEEAF6" w:themeFill="accent1" w:themeFillTint="33"/>
            <w:vAlign w:val="center"/>
          </w:tcPr>
          <w:p w14:paraId="6942696E" w14:textId="77777777" w:rsidR="0030687A" w:rsidRPr="0042384C" w:rsidRDefault="0030687A" w:rsidP="009B12EA">
            <w:pPr>
              <w:jc w:val="center"/>
              <w:rPr>
                <w:rFonts w:asciiTheme="majorHAnsi" w:eastAsia="Sylfaen" w:hAnsiTheme="majorHAnsi" w:cs="Calibri"/>
                <w:b/>
              </w:rPr>
            </w:pPr>
            <w:r w:rsidRPr="0042384C">
              <w:rPr>
                <w:rFonts w:asciiTheme="majorHAnsi" w:eastAsia="Sylfaen" w:hAnsiTheme="majorHAnsi" w:cs="Calibri"/>
                <w:b/>
              </w:rPr>
              <w:t>წელი</w:t>
            </w:r>
          </w:p>
        </w:tc>
        <w:tc>
          <w:tcPr>
            <w:tcW w:w="1710" w:type="dxa"/>
            <w:shd w:val="clear" w:color="auto" w:fill="F2F2F2" w:themeFill="background1" w:themeFillShade="F2"/>
            <w:vAlign w:val="center"/>
          </w:tcPr>
          <w:p w14:paraId="33D38118" w14:textId="77777777" w:rsidR="0030687A" w:rsidRPr="0042384C" w:rsidRDefault="0030687A" w:rsidP="009B12EA">
            <w:pPr>
              <w:jc w:val="center"/>
              <w:rPr>
                <w:rFonts w:asciiTheme="majorHAnsi" w:eastAsia="Sylfaen" w:hAnsiTheme="majorHAnsi" w:cs="Calibri"/>
                <w:b/>
              </w:rPr>
            </w:pPr>
            <w:r w:rsidRPr="0042384C">
              <w:rPr>
                <w:rFonts w:asciiTheme="majorHAnsi" w:eastAsia="Sylfaen" w:hAnsiTheme="majorHAnsi" w:cs="Calibri"/>
                <w:b/>
              </w:rPr>
              <w:t>2021</w:t>
            </w:r>
          </w:p>
        </w:tc>
        <w:tc>
          <w:tcPr>
            <w:tcW w:w="1620" w:type="dxa"/>
            <w:shd w:val="clear" w:color="auto" w:fill="F2F2F2" w:themeFill="background1" w:themeFillShade="F2"/>
            <w:vAlign w:val="center"/>
          </w:tcPr>
          <w:p w14:paraId="540C5148" w14:textId="77777777" w:rsidR="0030687A" w:rsidRPr="0042384C" w:rsidRDefault="0030687A" w:rsidP="009B12EA">
            <w:pPr>
              <w:jc w:val="center"/>
              <w:rPr>
                <w:rFonts w:asciiTheme="majorHAnsi" w:eastAsia="Sylfaen" w:hAnsiTheme="majorHAnsi" w:cs="Calibri"/>
                <w:b/>
              </w:rPr>
            </w:pPr>
            <w:r w:rsidRPr="0042384C">
              <w:rPr>
                <w:rFonts w:asciiTheme="majorHAnsi" w:eastAsia="Sylfaen" w:hAnsiTheme="majorHAnsi" w:cs="Calibri"/>
                <w:b/>
              </w:rPr>
              <w:t>2022</w:t>
            </w:r>
          </w:p>
        </w:tc>
        <w:tc>
          <w:tcPr>
            <w:tcW w:w="1481" w:type="dxa"/>
            <w:shd w:val="clear" w:color="auto" w:fill="F2F2F2" w:themeFill="background1" w:themeFillShade="F2"/>
            <w:vAlign w:val="center"/>
          </w:tcPr>
          <w:p w14:paraId="77970FA5" w14:textId="77777777" w:rsidR="0030687A" w:rsidRPr="0042384C" w:rsidRDefault="0030687A" w:rsidP="009B12EA">
            <w:pPr>
              <w:jc w:val="center"/>
              <w:rPr>
                <w:rFonts w:asciiTheme="majorHAnsi" w:eastAsia="Sylfaen" w:hAnsiTheme="majorHAnsi" w:cs="Calibri"/>
                <w:b/>
              </w:rPr>
            </w:pPr>
            <w:r w:rsidRPr="0042384C">
              <w:rPr>
                <w:rFonts w:asciiTheme="majorHAnsi" w:eastAsia="Sylfaen" w:hAnsiTheme="majorHAnsi" w:cs="Calibri"/>
                <w:b/>
              </w:rPr>
              <w:t>2023</w:t>
            </w:r>
          </w:p>
        </w:tc>
      </w:tr>
      <w:tr w:rsidR="0030687A" w:rsidRPr="0042384C" w14:paraId="7BBA6E4F" w14:textId="77777777" w:rsidTr="00403BDD">
        <w:trPr>
          <w:trHeight w:val="440"/>
          <w:jc w:val="center"/>
        </w:trPr>
        <w:tc>
          <w:tcPr>
            <w:tcW w:w="3495" w:type="dxa"/>
            <w:shd w:val="clear" w:color="auto" w:fill="DEEAF6" w:themeFill="accent1" w:themeFillTint="33"/>
            <w:vAlign w:val="center"/>
          </w:tcPr>
          <w:p w14:paraId="2B4AB60F" w14:textId="77777777" w:rsidR="0030687A" w:rsidRPr="0042384C" w:rsidRDefault="0030687A">
            <w:pPr>
              <w:jc w:val="center"/>
              <w:rPr>
                <w:rFonts w:asciiTheme="majorHAnsi" w:eastAsia="Sylfaen" w:hAnsiTheme="majorHAnsi" w:cs="Calibri"/>
                <w:b/>
              </w:rPr>
            </w:pPr>
            <w:r w:rsidRPr="0042384C">
              <w:rPr>
                <w:rFonts w:asciiTheme="majorHAnsi" w:eastAsia="Sylfaen" w:hAnsiTheme="majorHAnsi" w:cs="Calibri"/>
                <w:b/>
              </w:rPr>
              <w:t>ნასყიდობა</w:t>
            </w:r>
          </w:p>
        </w:tc>
        <w:tc>
          <w:tcPr>
            <w:tcW w:w="1710" w:type="dxa"/>
            <w:vAlign w:val="center"/>
          </w:tcPr>
          <w:p w14:paraId="6C372501" w14:textId="77777777" w:rsidR="0030687A" w:rsidRPr="0042384C" w:rsidRDefault="0030687A" w:rsidP="009B12EA">
            <w:pPr>
              <w:jc w:val="center"/>
              <w:rPr>
                <w:rFonts w:asciiTheme="majorHAnsi" w:eastAsia="Sylfaen" w:hAnsiTheme="majorHAnsi" w:cs="Calibri"/>
              </w:rPr>
            </w:pPr>
            <w:r w:rsidRPr="0042384C">
              <w:rPr>
                <w:rFonts w:asciiTheme="majorHAnsi" w:hAnsiTheme="majorHAnsi" w:cs="Calibri"/>
                <w:color w:val="000000"/>
                <w:lang w:eastAsia="en-US"/>
              </w:rPr>
              <w:t>3</w:t>
            </w:r>
            <w:r w:rsidR="00176C72" w:rsidRPr="0042384C">
              <w:rPr>
                <w:rFonts w:asciiTheme="majorHAnsi" w:hAnsiTheme="majorHAnsi" w:cs="Calibri"/>
                <w:color w:val="000000"/>
                <w:lang w:eastAsia="en-US"/>
              </w:rPr>
              <w:t>,</w:t>
            </w:r>
            <w:r w:rsidRPr="0042384C">
              <w:rPr>
                <w:rFonts w:asciiTheme="majorHAnsi" w:hAnsiTheme="majorHAnsi" w:cs="Calibri"/>
                <w:color w:val="000000"/>
                <w:lang w:eastAsia="en-US"/>
              </w:rPr>
              <w:t>291</w:t>
            </w:r>
          </w:p>
        </w:tc>
        <w:tc>
          <w:tcPr>
            <w:tcW w:w="1620" w:type="dxa"/>
            <w:vAlign w:val="center"/>
          </w:tcPr>
          <w:p w14:paraId="1A93831D" w14:textId="77777777" w:rsidR="0030687A" w:rsidRPr="0042384C" w:rsidRDefault="0030687A" w:rsidP="009B12EA">
            <w:pPr>
              <w:jc w:val="center"/>
              <w:rPr>
                <w:rFonts w:asciiTheme="majorHAnsi" w:eastAsia="Sylfaen" w:hAnsiTheme="majorHAnsi" w:cs="Calibri"/>
              </w:rPr>
            </w:pPr>
            <w:r w:rsidRPr="0042384C">
              <w:rPr>
                <w:rFonts w:asciiTheme="majorHAnsi" w:eastAsia="Sylfaen" w:hAnsiTheme="majorHAnsi" w:cs="Calibri"/>
              </w:rPr>
              <w:t>2</w:t>
            </w:r>
            <w:r w:rsidR="00176C72" w:rsidRPr="0042384C">
              <w:rPr>
                <w:rFonts w:asciiTheme="majorHAnsi" w:eastAsia="Sylfaen" w:hAnsiTheme="majorHAnsi" w:cs="Calibri"/>
              </w:rPr>
              <w:t>,</w:t>
            </w:r>
            <w:r w:rsidRPr="0042384C">
              <w:rPr>
                <w:rFonts w:asciiTheme="majorHAnsi" w:eastAsia="Sylfaen" w:hAnsiTheme="majorHAnsi" w:cs="Calibri"/>
              </w:rPr>
              <w:t>805</w:t>
            </w:r>
          </w:p>
        </w:tc>
        <w:tc>
          <w:tcPr>
            <w:tcW w:w="1481" w:type="dxa"/>
            <w:vAlign w:val="center"/>
          </w:tcPr>
          <w:p w14:paraId="2819AACE" w14:textId="77777777" w:rsidR="0030687A" w:rsidRPr="0042384C" w:rsidRDefault="0030687A" w:rsidP="009B12EA">
            <w:pPr>
              <w:jc w:val="center"/>
              <w:rPr>
                <w:rFonts w:asciiTheme="majorHAnsi" w:eastAsia="Sylfaen" w:hAnsiTheme="majorHAnsi" w:cs="Calibri"/>
              </w:rPr>
            </w:pPr>
            <w:r w:rsidRPr="0042384C">
              <w:rPr>
                <w:rFonts w:asciiTheme="majorHAnsi" w:eastAsia="Sylfaen" w:hAnsiTheme="majorHAnsi" w:cs="Calibri"/>
              </w:rPr>
              <w:t>2</w:t>
            </w:r>
            <w:r w:rsidR="00176C72" w:rsidRPr="0042384C">
              <w:rPr>
                <w:rFonts w:asciiTheme="majorHAnsi" w:eastAsia="Sylfaen" w:hAnsiTheme="majorHAnsi" w:cs="Calibri"/>
              </w:rPr>
              <w:t>,</w:t>
            </w:r>
            <w:r w:rsidRPr="0042384C">
              <w:rPr>
                <w:rFonts w:asciiTheme="majorHAnsi" w:eastAsia="Sylfaen" w:hAnsiTheme="majorHAnsi" w:cs="Calibri"/>
              </w:rPr>
              <w:t>523</w:t>
            </w:r>
          </w:p>
        </w:tc>
      </w:tr>
      <w:tr w:rsidR="0030687A" w:rsidRPr="0042384C" w14:paraId="030FC3CF" w14:textId="77777777" w:rsidTr="00403BDD">
        <w:trPr>
          <w:trHeight w:val="440"/>
          <w:jc w:val="center"/>
        </w:trPr>
        <w:tc>
          <w:tcPr>
            <w:tcW w:w="3495" w:type="dxa"/>
            <w:shd w:val="clear" w:color="auto" w:fill="DEEAF6" w:themeFill="accent1" w:themeFillTint="33"/>
            <w:vAlign w:val="center"/>
          </w:tcPr>
          <w:p w14:paraId="3A26C5DC" w14:textId="77777777" w:rsidR="0030687A" w:rsidRPr="0042384C" w:rsidRDefault="0030687A">
            <w:pPr>
              <w:jc w:val="center"/>
              <w:rPr>
                <w:rFonts w:asciiTheme="majorHAnsi" w:eastAsia="Sylfaen" w:hAnsiTheme="majorHAnsi" w:cs="Calibri"/>
                <w:b/>
              </w:rPr>
            </w:pPr>
            <w:r w:rsidRPr="0042384C">
              <w:rPr>
                <w:rFonts w:asciiTheme="majorHAnsi" w:eastAsia="Sylfaen" w:hAnsiTheme="majorHAnsi" w:cs="Calibri"/>
                <w:b/>
              </w:rPr>
              <w:t>ჩუქება</w:t>
            </w:r>
          </w:p>
        </w:tc>
        <w:tc>
          <w:tcPr>
            <w:tcW w:w="1710" w:type="dxa"/>
            <w:vAlign w:val="center"/>
          </w:tcPr>
          <w:p w14:paraId="7C8157D1" w14:textId="77777777" w:rsidR="0030687A" w:rsidRPr="0042384C" w:rsidRDefault="0030687A" w:rsidP="009B12EA">
            <w:pPr>
              <w:jc w:val="center"/>
              <w:rPr>
                <w:rFonts w:asciiTheme="majorHAnsi" w:eastAsia="Sylfaen" w:hAnsiTheme="majorHAnsi" w:cs="Calibri"/>
              </w:rPr>
            </w:pPr>
            <w:r w:rsidRPr="0042384C">
              <w:rPr>
                <w:rFonts w:asciiTheme="majorHAnsi" w:hAnsiTheme="majorHAnsi" w:cs="Calibri"/>
                <w:color w:val="000000"/>
                <w:lang w:eastAsia="en-US"/>
              </w:rPr>
              <w:t>585</w:t>
            </w:r>
          </w:p>
        </w:tc>
        <w:tc>
          <w:tcPr>
            <w:tcW w:w="1620" w:type="dxa"/>
            <w:vAlign w:val="center"/>
          </w:tcPr>
          <w:p w14:paraId="0912F766" w14:textId="77777777" w:rsidR="0030687A" w:rsidRPr="0042384C" w:rsidRDefault="0030687A" w:rsidP="009B12EA">
            <w:pPr>
              <w:jc w:val="center"/>
              <w:rPr>
                <w:rFonts w:asciiTheme="majorHAnsi" w:eastAsia="Sylfaen" w:hAnsiTheme="majorHAnsi" w:cs="Calibri"/>
              </w:rPr>
            </w:pPr>
            <w:r w:rsidRPr="0042384C">
              <w:rPr>
                <w:rFonts w:asciiTheme="majorHAnsi" w:eastAsia="Sylfaen" w:hAnsiTheme="majorHAnsi" w:cs="Calibri"/>
              </w:rPr>
              <w:t>454</w:t>
            </w:r>
          </w:p>
        </w:tc>
        <w:tc>
          <w:tcPr>
            <w:tcW w:w="1481" w:type="dxa"/>
            <w:vAlign w:val="center"/>
          </w:tcPr>
          <w:p w14:paraId="37A9AAF1" w14:textId="77777777" w:rsidR="0030687A" w:rsidRPr="0042384C" w:rsidRDefault="0030687A" w:rsidP="009B12EA">
            <w:pPr>
              <w:jc w:val="center"/>
              <w:rPr>
                <w:rFonts w:asciiTheme="majorHAnsi" w:eastAsia="Sylfaen" w:hAnsiTheme="majorHAnsi" w:cs="Calibri"/>
              </w:rPr>
            </w:pPr>
            <w:r w:rsidRPr="0042384C">
              <w:rPr>
                <w:rFonts w:asciiTheme="majorHAnsi" w:eastAsia="Sylfaen" w:hAnsiTheme="majorHAnsi" w:cs="Calibri"/>
              </w:rPr>
              <w:t>358</w:t>
            </w:r>
          </w:p>
        </w:tc>
      </w:tr>
    </w:tbl>
    <w:p w14:paraId="7EE36F31" w14:textId="2F9972DC" w:rsidR="003A7EAA" w:rsidRPr="0042384C" w:rsidRDefault="003A7EAA">
      <w:pPr>
        <w:rPr>
          <w:rFonts w:asciiTheme="majorHAnsi" w:hAnsiTheme="majorHAnsi" w:cs="Calibri"/>
        </w:rPr>
      </w:pPr>
    </w:p>
    <w:p w14:paraId="4C4FC389" w14:textId="77777777" w:rsidR="00CC18BE" w:rsidRPr="0042384C" w:rsidRDefault="00CC18BE">
      <w:pPr>
        <w:rPr>
          <w:rFonts w:asciiTheme="majorHAnsi" w:hAnsiTheme="majorHAnsi" w:cs="Calibri"/>
        </w:rPr>
      </w:pPr>
    </w:p>
    <w:p w14:paraId="4F094E13" w14:textId="5D3193C3" w:rsidR="00EB0602" w:rsidRPr="0042384C" w:rsidRDefault="00EB0602" w:rsidP="003F7CDA">
      <w:pPr>
        <w:ind w:firstLine="360"/>
        <w:jc w:val="both"/>
        <w:rPr>
          <w:rFonts w:asciiTheme="majorHAnsi" w:hAnsiTheme="majorHAnsi" w:cs="Calibri"/>
          <w:b/>
        </w:rPr>
      </w:pPr>
      <w:r w:rsidRPr="0042384C">
        <w:rPr>
          <w:rFonts w:asciiTheme="majorHAnsi" w:hAnsiTheme="majorHAnsi" w:cs="Calibri"/>
          <w:b/>
        </w:rPr>
        <w:t>3. ვირტუალური აქტივის მომსახურების პროვაიდერები</w:t>
      </w:r>
      <w:r w:rsidR="00996090" w:rsidRPr="0042384C">
        <w:rPr>
          <w:rStyle w:val="FootnoteReference"/>
          <w:rFonts w:asciiTheme="majorHAnsi" w:hAnsiTheme="majorHAnsi" w:cs="Calibri"/>
          <w:b/>
        </w:rPr>
        <w:footnoteReference w:id="5"/>
      </w:r>
    </w:p>
    <w:p w14:paraId="65001F94" w14:textId="187B1601" w:rsidR="00B254F2" w:rsidRPr="0042384C" w:rsidRDefault="00B254F2" w:rsidP="003F7CDA">
      <w:pPr>
        <w:ind w:firstLine="360"/>
        <w:jc w:val="both"/>
        <w:rPr>
          <w:rFonts w:asciiTheme="majorHAnsi" w:hAnsiTheme="majorHAnsi" w:cs="Calibri"/>
        </w:rPr>
      </w:pPr>
      <w:r w:rsidRPr="0042384C">
        <w:rPr>
          <w:rFonts w:asciiTheme="majorHAnsi" w:hAnsiTheme="majorHAnsi" w:cs="Calibri"/>
        </w:rPr>
        <w:t>3.1 ძირითადი მიგნებები</w:t>
      </w:r>
    </w:p>
    <w:p w14:paraId="3D37FF69" w14:textId="2C2427A6" w:rsidR="00020425" w:rsidRPr="0042384C" w:rsidRDefault="00B254F2" w:rsidP="003F7CDA">
      <w:pPr>
        <w:ind w:firstLine="270"/>
        <w:jc w:val="both"/>
        <w:rPr>
          <w:rFonts w:asciiTheme="majorHAnsi" w:eastAsia="Sylfaen" w:hAnsiTheme="majorHAnsi" w:cs="Calibri"/>
        </w:rPr>
      </w:pPr>
      <w:r w:rsidRPr="0042384C">
        <w:rPr>
          <w:rFonts w:asciiTheme="majorHAnsi" w:eastAsia="Sylfaen" w:hAnsiTheme="majorHAnsi" w:cs="Calibri"/>
        </w:rPr>
        <w:t xml:space="preserve">ვირტუალური აქტივის სექტორი მზარდია  და </w:t>
      </w:r>
      <w:r w:rsidRPr="0042384C">
        <w:rPr>
          <w:rFonts w:asciiTheme="majorHAnsi" w:hAnsiTheme="majorHAnsi" w:cs="Calibri"/>
        </w:rPr>
        <w:t>გამოირჩევა მაღალი თანდაყოლილი მოწყვლადობით ფულის გათეთრების და ტერორიზმის დაფინანსების დანაშაულის მიმართ.</w:t>
      </w:r>
      <w:r w:rsidRPr="0042384C">
        <w:rPr>
          <w:rFonts w:asciiTheme="majorHAnsi" w:eastAsia="Sylfaen" w:hAnsiTheme="majorHAnsi" w:cs="Calibri"/>
        </w:rPr>
        <w:t xml:space="preserve"> </w:t>
      </w:r>
      <w:r w:rsidR="00114344" w:rsidRPr="0042384C">
        <w:rPr>
          <w:rFonts w:asciiTheme="majorHAnsi" w:eastAsia="Sylfaen" w:hAnsiTheme="majorHAnsi" w:cs="Calibri"/>
        </w:rPr>
        <w:t>ამას განაპირობებს</w:t>
      </w:r>
      <w:r w:rsidRPr="0042384C">
        <w:rPr>
          <w:rFonts w:asciiTheme="majorHAnsi" w:eastAsia="Sylfaen" w:hAnsiTheme="majorHAnsi" w:cs="Calibri"/>
        </w:rPr>
        <w:t xml:space="preserve"> ვირტუალური აქტივის ბუნება, </w:t>
      </w:r>
      <w:r w:rsidR="00114344" w:rsidRPr="0042384C">
        <w:rPr>
          <w:rFonts w:asciiTheme="majorHAnsi" w:eastAsia="Sylfaen" w:hAnsiTheme="majorHAnsi" w:cs="Calibri"/>
        </w:rPr>
        <w:t xml:space="preserve">მასთან დაკავშირებული მომსახურების </w:t>
      </w:r>
      <w:r w:rsidRPr="0042384C">
        <w:rPr>
          <w:rFonts w:asciiTheme="majorHAnsi" w:eastAsia="Sylfaen" w:hAnsiTheme="majorHAnsi" w:cs="Calibri"/>
        </w:rPr>
        <w:t>არაერთგვაროვანი რეგულირება</w:t>
      </w:r>
      <w:r w:rsidR="00114344" w:rsidRPr="0042384C">
        <w:rPr>
          <w:rFonts w:asciiTheme="majorHAnsi" w:eastAsia="Sylfaen" w:hAnsiTheme="majorHAnsi" w:cs="Calibri"/>
        </w:rPr>
        <w:t xml:space="preserve"> საერთაშორისო დონეზე</w:t>
      </w:r>
      <w:r w:rsidRPr="0042384C">
        <w:rPr>
          <w:rFonts w:asciiTheme="majorHAnsi" w:eastAsia="Sylfaen" w:hAnsiTheme="majorHAnsi" w:cs="Calibri"/>
        </w:rPr>
        <w:t>, ე.წ. „travel rule“-ის დანერგვისთვის უნიკალური გადაწყვეტის არარსებობა</w:t>
      </w:r>
      <w:r w:rsidR="00114344" w:rsidRPr="0042384C">
        <w:rPr>
          <w:rFonts w:asciiTheme="majorHAnsi" w:eastAsia="Sylfaen" w:hAnsiTheme="majorHAnsi" w:cs="Calibri"/>
        </w:rPr>
        <w:t xml:space="preserve"> და</w:t>
      </w:r>
      <w:r w:rsidRPr="0042384C">
        <w:rPr>
          <w:rFonts w:asciiTheme="majorHAnsi" w:eastAsia="Sylfaen" w:hAnsiTheme="majorHAnsi" w:cs="Calibri"/>
        </w:rPr>
        <w:t xml:space="preserve"> ბაზრ</w:t>
      </w:r>
      <w:r w:rsidR="00114344" w:rsidRPr="0042384C">
        <w:rPr>
          <w:rFonts w:asciiTheme="majorHAnsi" w:eastAsia="Sylfaen" w:hAnsiTheme="majorHAnsi" w:cs="Calibri"/>
        </w:rPr>
        <w:t>აზე</w:t>
      </w:r>
      <w:r w:rsidRPr="0042384C">
        <w:rPr>
          <w:rFonts w:asciiTheme="majorHAnsi" w:eastAsia="Sylfaen" w:hAnsiTheme="majorHAnsi" w:cs="Calibri"/>
        </w:rPr>
        <w:t xml:space="preserve"> </w:t>
      </w:r>
      <w:r w:rsidR="00020425" w:rsidRPr="0042384C">
        <w:rPr>
          <w:rFonts w:asciiTheme="majorHAnsi" w:eastAsia="Sylfaen" w:hAnsiTheme="majorHAnsi" w:cs="Calibri"/>
        </w:rPr>
        <w:t>ახალი პროდუქტების და მიწოდების არხების სიმრავლე</w:t>
      </w:r>
      <w:r w:rsidRPr="0042384C">
        <w:rPr>
          <w:rFonts w:asciiTheme="majorHAnsi" w:eastAsia="Sylfaen" w:hAnsiTheme="majorHAnsi" w:cs="Calibri"/>
        </w:rPr>
        <w:t xml:space="preserve">. </w:t>
      </w:r>
    </w:p>
    <w:p w14:paraId="70651C25" w14:textId="02A7B898" w:rsidR="00B254F2" w:rsidRPr="0042384C" w:rsidRDefault="00020425" w:rsidP="003F7CDA">
      <w:pPr>
        <w:ind w:firstLine="270"/>
        <w:jc w:val="both"/>
        <w:rPr>
          <w:rFonts w:asciiTheme="majorHAnsi" w:eastAsia="Sylfaen" w:hAnsiTheme="majorHAnsi" w:cs="Calibri"/>
        </w:rPr>
      </w:pPr>
      <w:r w:rsidRPr="0042384C">
        <w:rPr>
          <w:rFonts w:asciiTheme="majorHAnsi" w:eastAsia="Sylfaen" w:hAnsiTheme="majorHAnsi" w:cs="Calibri"/>
        </w:rPr>
        <w:lastRenderedPageBreak/>
        <w:t xml:space="preserve">მიუხედავად ამისა, სხვა ქვეყნებთან შედარებით, საქართველოში ვირტუალური აქტივის მომსახურების სექტორი საკმაოდ მცირეა ტრანზაქციების მოცულობისა და მომხმარებლების რაოდენობის გათვალისწინებით. </w:t>
      </w:r>
      <w:r w:rsidR="00B254F2" w:rsidRPr="0042384C">
        <w:rPr>
          <w:rFonts w:asciiTheme="majorHAnsi" w:eastAsia="Sylfaen" w:hAnsiTheme="majorHAnsi" w:cs="Calibri"/>
        </w:rPr>
        <w:t>ასევე,</w:t>
      </w:r>
      <w:r w:rsidRPr="0042384C">
        <w:rPr>
          <w:rFonts w:asciiTheme="majorHAnsi" w:eastAsia="Sylfaen" w:hAnsiTheme="majorHAnsi" w:cs="Calibri"/>
        </w:rPr>
        <w:t xml:space="preserve"> 202</w:t>
      </w:r>
      <w:r w:rsidR="00291550" w:rsidRPr="0042384C">
        <w:rPr>
          <w:rFonts w:asciiTheme="majorHAnsi" w:eastAsia="Sylfaen" w:hAnsiTheme="majorHAnsi" w:cs="Calibri"/>
        </w:rPr>
        <w:t>3</w:t>
      </w:r>
      <w:r w:rsidRPr="0042384C">
        <w:rPr>
          <w:rFonts w:asciiTheme="majorHAnsi" w:eastAsia="Sylfaen" w:hAnsiTheme="majorHAnsi" w:cs="Calibri"/>
        </w:rPr>
        <w:t xml:space="preserve"> წლიდან ამოქმედდა</w:t>
      </w:r>
      <w:r w:rsidR="00B254F2" w:rsidRPr="0042384C">
        <w:rPr>
          <w:rFonts w:asciiTheme="majorHAnsi" w:eastAsia="Sylfaen" w:hAnsiTheme="majorHAnsi" w:cs="Calibri"/>
        </w:rPr>
        <w:t xml:space="preserve"> </w:t>
      </w:r>
      <w:r w:rsidRPr="0042384C">
        <w:rPr>
          <w:rFonts w:asciiTheme="majorHAnsi" w:eastAsia="Sylfaen" w:hAnsiTheme="majorHAnsi" w:cs="Calibri"/>
        </w:rPr>
        <w:t xml:space="preserve">ვირტუალური აქტივის მომსახურების პროვაიდერების </w:t>
      </w:r>
      <w:r w:rsidR="00B254F2" w:rsidRPr="0042384C">
        <w:rPr>
          <w:rFonts w:asciiTheme="majorHAnsi" w:eastAsia="Sylfaen" w:hAnsiTheme="majorHAnsi" w:cs="Calibri"/>
        </w:rPr>
        <w:t>რეგულირების</w:t>
      </w:r>
      <w:r w:rsidRPr="0042384C">
        <w:rPr>
          <w:rFonts w:asciiTheme="majorHAnsi" w:eastAsia="Sylfaen" w:hAnsiTheme="majorHAnsi" w:cs="Calibri"/>
        </w:rPr>
        <w:t xml:space="preserve">ა და მათ საქმიანობაზე </w:t>
      </w:r>
      <w:r w:rsidR="00B254F2" w:rsidRPr="0042384C">
        <w:rPr>
          <w:rFonts w:asciiTheme="majorHAnsi" w:eastAsia="Sylfaen" w:hAnsiTheme="majorHAnsi" w:cs="Calibri"/>
        </w:rPr>
        <w:t>ზედამხედველობის ჩარჩო.</w:t>
      </w:r>
    </w:p>
    <w:p w14:paraId="4D4A1FDB" w14:textId="69E553E5" w:rsidR="00CC18BE" w:rsidRPr="0042384C" w:rsidRDefault="00020425" w:rsidP="003F7CDA">
      <w:pPr>
        <w:ind w:firstLine="270"/>
        <w:jc w:val="both"/>
        <w:rPr>
          <w:rFonts w:asciiTheme="majorHAnsi" w:eastAsia="Sylfaen" w:hAnsiTheme="majorHAnsi" w:cs="Calibri"/>
        </w:rPr>
      </w:pPr>
      <w:r w:rsidRPr="0042384C">
        <w:rPr>
          <w:rFonts w:asciiTheme="majorHAnsi" w:eastAsia="Sylfaen" w:hAnsiTheme="majorHAnsi" w:cs="Calibri"/>
        </w:rPr>
        <w:t>აქედან</w:t>
      </w:r>
      <w:r w:rsidR="00B254F2" w:rsidRPr="0042384C">
        <w:rPr>
          <w:rFonts w:asciiTheme="majorHAnsi" w:eastAsia="Sylfaen" w:hAnsiTheme="majorHAnsi" w:cs="Calibri"/>
        </w:rPr>
        <w:t xml:space="preserve"> გამომდინარე, ვირტუალური აქტივის მომსახურების სექტორ</w:t>
      </w:r>
      <w:r w:rsidRPr="0042384C">
        <w:rPr>
          <w:rFonts w:asciiTheme="majorHAnsi" w:eastAsia="Sylfaen" w:hAnsiTheme="majorHAnsi" w:cs="Calibri"/>
        </w:rPr>
        <w:t>ში არსებული</w:t>
      </w:r>
      <w:r w:rsidR="00B254F2" w:rsidRPr="0042384C">
        <w:rPr>
          <w:rFonts w:asciiTheme="majorHAnsi" w:eastAsia="Sylfaen" w:hAnsiTheme="majorHAnsi" w:cs="Calibri"/>
        </w:rPr>
        <w:t xml:space="preserve"> </w:t>
      </w:r>
      <w:r w:rsidR="00E476F1" w:rsidRPr="0042384C">
        <w:rPr>
          <w:rFonts w:asciiTheme="majorHAnsi" w:eastAsia="Sylfaen" w:hAnsiTheme="majorHAnsi" w:cs="Calibri"/>
        </w:rPr>
        <w:t xml:space="preserve">ფულის გათეთრების და ტერორიზმის დაფინანსების </w:t>
      </w:r>
      <w:r w:rsidRPr="0042384C">
        <w:rPr>
          <w:rFonts w:asciiTheme="majorHAnsi" w:eastAsia="Sylfaen" w:hAnsiTheme="majorHAnsi" w:cs="Calibri"/>
        </w:rPr>
        <w:t>რისკები</w:t>
      </w:r>
      <w:r w:rsidR="00B254F2" w:rsidRPr="0042384C">
        <w:rPr>
          <w:rFonts w:asciiTheme="majorHAnsi" w:eastAsia="Sylfaen" w:hAnsiTheme="majorHAnsi" w:cs="Calibri"/>
        </w:rPr>
        <w:t xml:space="preserve"> შეფასდა როგო</w:t>
      </w:r>
      <w:r w:rsidR="00291550" w:rsidRPr="0042384C">
        <w:rPr>
          <w:rFonts w:asciiTheme="majorHAnsi" w:eastAsia="Sylfaen" w:hAnsiTheme="majorHAnsi" w:cs="Calibri"/>
        </w:rPr>
        <w:t>რ</w:t>
      </w:r>
      <w:r w:rsidR="00B254F2" w:rsidRPr="0042384C">
        <w:rPr>
          <w:rFonts w:asciiTheme="majorHAnsi" w:eastAsia="Sylfaen" w:hAnsiTheme="majorHAnsi" w:cs="Calibri"/>
        </w:rPr>
        <w:t>ც საშუალო</w:t>
      </w:r>
      <w:r w:rsidRPr="0042384C">
        <w:rPr>
          <w:rFonts w:asciiTheme="majorHAnsi" w:eastAsia="Sylfaen" w:hAnsiTheme="majorHAnsi" w:cs="Calibri"/>
        </w:rPr>
        <w:t>-</w:t>
      </w:r>
      <w:r w:rsidR="00B254F2" w:rsidRPr="0042384C">
        <w:rPr>
          <w:rFonts w:asciiTheme="majorHAnsi" w:eastAsia="Sylfaen" w:hAnsiTheme="majorHAnsi" w:cs="Calibri"/>
        </w:rPr>
        <w:t>მაღალი.</w:t>
      </w:r>
    </w:p>
    <w:p w14:paraId="65499A61" w14:textId="5F90E46B" w:rsidR="00EB0602" w:rsidRPr="0042384C" w:rsidRDefault="00EB0602" w:rsidP="003F7CDA">
      <w:pPr>
        <w:ind w:firstLine="360"/>
        <w:jc w:val="both"/>
        <w:rPr>
          <w:rFonts w:asciiTheme="majorHAnsi" w:hAnsiTheme="majorHAnsi" w:cs="Calibri"/>
        </w:rPr>
      </w:pPr>
      <w:r w:rsidRPr="0042384C">
        <w:rPr>
          <w:rFonts w:asciiTheme="majorHAnsi" w:hAnsiTheme="majorHAnsi" w:cs="Calibri"/>
        </w:rPr>
        <w:t>3.</w:t>
      </w:r>
      <w:r w:rsidR="00B254F2" w:rsidRPr="0042384C">
        <w:rPr>
          <w:rFonts w:asciiTheme="majorHAnsi" w:hAnsiTheme="majorHAnsi" w:cs="Calibri"/>
        </w:rPr>
        <w:t>2</w:t>
      </w:r>
      <w:r w:rsidRPr="0042384C">
        <w:rPr>
          <w:rFonts w:asciiTheme="majorHAnsi" w:hAnsiTheme="majorHAnsi" w:cs="Calibri"/>
        </w:rPr>
        <w:t xml:space="preserve"> ზოგადი მიმოხილვა</w:t>
      </w:r>
    </w:p>
    <w:p w14:paraId="4FD4D4FE" w14:textId="3CFC8913" w:rsidR="00EB0602" w:rsidRPr="0042384C" w:rsidRDefault="00EB0602" w:rsidP="003F7CDA">
      <w:pPr>
        <w:ind w:firstLine="270"/>
        <w:jc w:val="both"/>
        <w:rPr>
          <w:rFonts w:asciiTheme="majorHAnsi" w:eastAsia="Sylfaen" w:hAnsiTheme="majorHAnsi" w:cs="Calibri"/>
        </w:rPr>
      </w:pPr>
      <w:r w:rsidRPr="0042384C">
        <w:rPr>
          <w:rFonts w:asciiTheme="majorHAnsi" w:eastAsia="Sylfaen" w:hAnsiTheme="majorHAnsi" w:cs="Calibri"/>
        </w:rPr>
        <w:t>ვირტუალურ</w:t>
      </w:r>
      <w:r w:rsidR="00291550" w:rsidRPr="0042384C">
        <w:rPr>
          <w:rFonts w:asciiTheme="majorHAnsi" w:eastAsia="Sylfaen" w:hAnsiTheme="majorHAnsi" w:cs="Calibri"/>
        </w:rPr>
        <w:t>ი</w:t>
      </w:r>
      <w:r w:rsidRPr="0042384C">
        <w:rPr>
          <w:rFonts w:asciiTheme="majorHAnsi" w:eastAsia="Sylfaen" w:hAnsiTheme="majorHAnsi" w:cs="Calibri"/>
        </w:rPr>
        <w:t xml:space="preserve"> აქტივის გამოყენება მზარდია გლობალურად</w:t>
      </w:r>
      <w:r w:rsidR="00BF7084" w:rsidRPr="0042384C">
        <w:rPr>
          <w:rFonts w:asciiTheme="majorHAnsi" w:eastAsia="Sylfaen" w:hAnsiTheme="majorHAnsi" w:cs="Calibri"/>
        </w:rPr>
        <w:t xml:space="preserve"> და საქართველოში</w:t>
      </w:r>
      <w:r w:rsidRPr="0042384C">
        <w:rPr>
          <w:rFonts w:asciiTheme="majorHAnsi" w:eastAsia="Sylfaen" w:hAnsiTheme="majorHAnsi" w:cs="Calibri"/>
        </w:rPr>
        <w:t>. მზარდი ტენდენციის მიუხედავად, საქართველო</w:t>
      </w:r>
      <w:r w:rsidR="00BF7084" w:rsidRPr="0042384C">
        <w:rPr>
          <w:rFonts w:asciiTheme="majorHAnsi" w:eastAsia="Sylfaen" w:hAnsiTheme="majorHAnsi" w:cs="Calibri"/>
        </w:rPr>
        <w:t>ში არსებული</w:t>
      </w:r>
      <w:r w:rsidRPr="0042384C">
        <w:rPr>
          <w:rFonts w:asciiTheme="majorHAnsi" w:eastAsia="Sylfaen" w:hAnsiTheme="majorHAnsi" w:cs="Calibri"/>
        </w:rPr>
        <w:t xml:space="preserve"> ვირტუალური აქტივის მომსახურების პროვაიდერების (</w:t>
      </w:r>
      <w:r w:rsidR="00BF7084" w:rsidRPr="0042384C">
        <w:rPr>
          <w:rFonts w:asciiTheme="majorHAnsi" w:eastAsia="Sylfaen" w:hAnsiTheme="majorHAnsi" w:cs="Calibri"/>
        </w:rPr>
        <w:t xml:space="preserve">შემდგომ </w:t>
      </w:r>
      <w:r w:rsidR="001922B9">
        <w:rPr>
          <w:rFonts w:asciiTheme="majorHAnsi" w:hAnsiTheme="majorHAnsi" w:cs="Calibri"/>
        </w:rPr>
        <w:t>−</w:t>
      </w:r>
      <w:r w:rsidR="00BF7084" w:rsidRPr="0042384C">
        <w:rPr>
          <w:rFonts w:asciiTheme="majorHAnsi" w:eastAsia="Sylfaen" w:hAnsiTheme="majorHAnsi" w:cs="Calibri"/>
        </w:rPr>
        <w:t xml:space="preserve"> „</w:t>
      </w:r>
      <w:r w:rsidRPr="0042384C">
        <w:rPr>
          <w:rFonts w:asciiTheme="majorHAnsi" w:eastAsia="Sylfaen" w:hAnsiTheme="majorHAnsi" w:cs="Calibri"/>
        </w:rPr>
        <w:t>VASP</w:t>
      </w:r>
      <w:r w:rsidR="00BF7084" w:rsidRPr="0042384C">
        <w:rPr>
          <w:rFonts w:asciiTheme="majorHAnsi" w:eastAsia="Sylfaen" w:hAnsiTheme="majorHAnsi" w:cs="Calibri"/>
        </w:rPr>
        <w:t>“</w:t>
      </w:r>
      <w:r w:rsidRPr="0042384C">
        <w:rPr>
          <w:rFonts w:asciiTheme="majorHAnsi" w:eastAsia="Sylfaen" w:hAnsiTheme="majorHAnsi" w:cs="Calibri"/>
        </w:rPr>
        <w:t xml:space="preserve">) ეკოსისტემა, ვირტუალური აქტივებით ვაჭრობის მოცულობის და მომხმარებლების ბაზის გათვალისწინებით, მცირეა. </w:t>
      </w:r>
      <w:r w:rsidR="00BF7084" w:rsidRPr="0042384C">
        <w:rPr>
          <w:rFonts w:asciiTheme="majorHAnsi" w:eastAsia="Sylfaen" w:hAnsiTheme="majorHAnsi" w:cs="Calibri"/>
        </w:rPr>
        <w:t>ამაზე მეტყველებს</w:t>
      </w:r>
      <w:r w:rsidRPr="0042384C">
        <w:rPr>
          <w:rFonts w:asciiTheme="majorHAnsi" w:eastAsia="Sylfaen" w:hAnsiTheme="majorHAnsi" w:cs="Calibri"/>
        </w:rPr>
        <w:t xml:space="preserve"> ფინანსური ქმედების სპეციალური ჯგუფის (</w:t>
      </w:r>
      <w:r w:rsidR="00BF7084" w:rsidRPr="0042384C">
        <w:rPr>
          <w:rFonts w:asciiTheme="majorHAnsi" w:eastAsia="Sylfaen" w:hAnsiTheme="majorHAnsi" w:cs="Calibri"/>
        </w:rPr>
        <w:t xml:space="preserve">შემდგომ </w:t>
      </w:r>
      <w:r w:rsidR="001922B9">
        <w:rPr>
          <w:rFonts w:asciiTheme="majorHAnsi" w:hAnsiTheme="majorHAnsi" w:cs="Calibri"/>
        </w:rPr>
        <w:t>−</w:t>
      </w:r>
      <w:r w:rsidR="00BF7084" w:rsidRPr="0042384C">
        <w:rPr>
          <w:rFonts w:asciiTheme="majorHAnsi" w:eastAsia="Sylfaen" w:hAnsiTheme="majorHAnsi" w:cs="Calibri"/>
        </w:rPr>
        <w:t xml:space="preserve"> „</w:t>
      </w:r>
      <w:r w:rsidRPr="0042384C">
        <w:rPr>
          <w:rFonts w:asciiTheme="majorHAnsi" w:eastAsia="Sylfaen" w:hAnsiTheme="majorHAnsi" w:cs="Calibri"/>
        </w:rPr>
        <w:t>FATF</w:t>
      </w:r>
      <w:r w:rsidR="00BF7084" w:rsidRPr="0042384C">
        <w:rPr>
          <w:rFonts w:asciiTheme="majorHAnsi" w:eastAsia="Sylfaen" w:hAnsiTheme="majorHAnsi" w:cs="Calibri"/>
        </w:rPr>
        <w:t>“</w:t>
      </w:r>
      <w:r w:rsidRPr="0042384C">
        <w:rPr>
          <w:rFonts w:asciiTheme="majorHAnsi" w:eastAsia="Sylfaen" w:hAnsiTheme="majorHAnsi" w:cs="Calibri"/>
        </w:rPr>
        <w:t xml:space="preserve">) 2024 წლის </w:t>
      </w:r>
      <w:r w:rsidR="00BF7084" w:rsidRPr="0042384C">
        <w:rPr>
          <w:rFonts w:asciiTheme="majorHAnsi" w:eastAsia="Sylfaen" w:hAnsiTheme="majorHAnsi" w:cs="Calibri"/>
        </w:rPr>
        <w:t>ანგარიში</w:t>
      </w:r>
      <w:r w:rsidRPr="0042384C">
        <w:rPr>
          <w:rFonts w:asciiTheme="majorHAnsi" w:eastAsia="Sylfaen" w:hAnsiTheme="majorHAnsi" w:cs="Calibri"/>
        </w:rPr>
        <w:t>, რომლის მიხედვით</w:t>
      </w:r>
      <w:r w:rsidR="00291550" w:rsidRPr="0042384C">
        <w:rPr>
          <w:rFonts w:asciiTheme="majorHAnsi" w:eastAsia="Sylfaen" w:hAnsiTheme="majorHAnsi" w:cs="Calibri"/>
        </w:rPr>
        <w:t>,</w:t>
      </w:r>
      <w:r w:rsidRPr="0042384C">
        <w:rPr>
          <w:rFonts w:asciiTheme="majorHAnsi" w:eastAsia="Sylfaen" w:hAnsiTheme="majorHAnsi" w:cs="Calibri"/>
        </w:rPr>
        <w:t xml:space="preserve"> საქართველო არ </w:t>
      </w:r>
      <w:r w:rsidR="00BF7084" w:rsidRPr="0042384C">
        <w:rPr>
          <w:rFonts w:asciiTheme="majorHAnsi" w:eastAsia="Sylfaen" w:hAnsiTheme="majorHAnsi" w:cs="Calibri"/>
        </w:rPr>
        <w:t>განიხილება</w:t>
      </w:r>
      <w:r w:rsidRPr="0042384C">
        <w:rPr>
          <w:rFonts w:asciiTheme="majorHAnsi" w:eastAsia="Sylfaen" w:hAnsiTheme="majorHAnsi" w:cs="Calibri"/>
        </w:rPr>
        <w:t xml:space="preserve"> მატერიალური VASP </w:t>
      </w:r>
      <w:r w:rsidR="00BF7084" w:rsidRPr="0042384C">
        <w:rPr>
          <w:rFonts w:asciiTheme="majorHAnsi" w:eastAsia="Sylfaen" w:hAnsiTheme="majorHAnsi" w:cs="Calibri"/>
        </w:rPr>
        <w:t>სექტორის</w:t>
      </w:r>
      <w:r w:rsidRPr="0042384C">
        <w:rPr>
          <w:rFonts w:asciiTheme="majorHAnsi" w:eastAsia="Sylfaen" w:hAnsiTheme="majorHAnsi" w:cs="Calibri"/>
        </w:rPr>
        <w:t xml:space="preserve"> მქონე იურისდიქციად</w:t>
      </w:r>
      <w:r w:rsidRPr="0042384C">
        <w:rPr>
          <w:rFonts w:asciiTheme="majorHAnsi" w:eastAsia="Sylfaen" w:hAnsiTheme="majorHAnsi"/>
          <w:vertAlign w:val="superscript"/>
        </w:rPr>
        <w:footnoteReference w:id="6"/>
      </w:r>
      <w:r w:rsidRPr="0042384C">
        <w:rPr>
          <w:rFonts w:asciiTheme="majorHAnsi" w:eastAsia="Sylfaen" w:hAnsiTheme="majorHAnsi" w:cs="Calibri"/>
        </w:rPr>
        <w:t xml:space="preserve">. </w:t>
      </w:r>
    </w:p>
    <w:p w14:paraId="16D49BC0" w14:textId="46A843D0" w:rsidR="009B12EA" w:rsidRPr="0042384C" w:rsidRDefault="00EB0602" w:rsidP="009B12EA">
      <w:pPr>
        <w:ind w:firstLine="270"/>
        <w:jc w:val="both"/>
        <w:rPr>
          <w:rFonts w:asciiTheme="majorHAnsi" w:hAnsiTheme="majorHAnsi" w:cs="Calibri"/>
        </w:rPr>
      </w:pPr>
      <w:r w:rsidRPr="0042384C">
        <w:rPr>
          <w:rFonts w:asciiTheme="majorHAnsi" w:hAnsiTheme="majorHAnsi" w:cs="Calibri"/>
        </w:rPr>
        <w:t>2023 წლის 1 იანვარს ამოქმედდა ვირტუალური აქტივის</w:t>
      </w:r>
      <w:r w:rsidR="009B12EA" w:rsidRPr="0042384C">
        <w:rPr>
          <w:rFonts w:asciiTheme="majorHAnsi" w:hAnsiTheme="majorHAnsi" w:cs="Calibri"/>
        </w:rPr>
        <w:t xml:space="preserve"> მომსახურებასთან დაკავშირებული </w:t>
      </w:r>
      <w:r w:rsidRPr="0042384C">
        <w:rPr>
          <w:rFonts w:asciiTheme="majorHAnsi" w:hAnsiTheme="majorHAnsi" w:cs="Calibri"/>
        </w:rPr>
        <w:t>საკანონმდებლო ცვლილებები</w:t>
      </w:r>
      <w:r w:rsidR="009B12EA" w:rsidRPr="0042384C">
        <w:rPr>
          <w:rFonts w:asciiTheme="majorHAnsi" w:hAnsiTheme="majorHAnsi" w:cs="Calibri"/>
        </w:rPr>
        <w:t>. კერძოდ, ამ ცვლილებების მიხედვით, სხვა პირებისთვის ქვემოთ მოცემული მომსახურების მიწოდებისთვის სავალდებულო გახდა საქართველოს ეროვნულ ბანკში  VASP-ად რეგისტრაცია:</w:t>
      </w:r>
    </w:p>
    <w:p w14:paraId="403E628C" w14:textId="77777777" w:rsidR="009B12EA" w:rsidRPr="0042384C" w:rsidRDefault="009B12EA" w:rsidP="009B12EA">
      <w:pPr>
        <w:ind w:firstLine="270"/>
        <w:jc w:val="both"/>
        <w:rPr>
          <w:rFonts w:asciiTheme="majorHAnsi" w:hAnsiTheme="majorHAnsi" w:cs="Calibri"/>
        </w:rPr>
      </w:pPr>
    </w:p>
    <w:p w14:paraId="09316EC6" w14:textId="79DA2131" w:rsidR="009B12EA" w:rsidRPr="0042384C" w:rsidRDefault="009B12EA" w:rsidP="00291550">
      <w:pPr>
        <w:pStyle w:val="ListParagraph"/>
        <w:numPr>
          <w:ilvl w:val="0"/>
          <w:numId w:val="15"/>
        </w:numPr>
        <w:spacing w:line="276" w:lineRule="auto"/>
        <w:contextualSpacing w:val="0"/>
        <w:rPr>
          <w:rFonts w:asciiTheme="majorHAnsi" w:hAnsiTheme="majorHAnsi" w:cs="Calibri"/>
        </w:rPr>
      </w:pPr>
      <w:r w:rsidRPr="0042384C">
        <w:rPr>
          <w:rFonts w:asciiTheme="majorHAnsi" w:hAnsiTheme="majorHAnsi" w:cs="Calibri"/>
        </w:rPr>
        <w:t>კონვერტირებადი ვირტუალური აქტივის ურთიერთგადაცვლა ეროვნულ ან უცხოურ ვალუტაში, სხვა ვირტუალურ აქტივში ან ფინანსურ ინსტრუმენტში.</w:t>
      </w:r>
    </w:p>
    <w:p w14:paraId="1AC63DB5" w14:textId="12FE9570" w:rsidR="009B12EA" w:rsidRPr="0042384C" w:rsidRDefault="009B12EA" w:rsidP="00291550">
      <w:pPr>
        <w:pStyle w:val="ListParagraph"/>
        <w:numPr>
          <w:ilvl w:val="0"/>
          <w:numId w:val="15"/>
        </w:numPr>
        <w:spacing w:line="276" w:lineRule="auto"/>
        <w:contextualSpacing w:val="0"/>
        <w:rPr>
          <w:rFonts w:asciiTheme="majorHAnsi" w:hAnsiTheme="majorHAnsi" w:cs="Calibri"/>
        </w:rPr>
      </w:pPr>
      <w:r w:rsidRPr="0042384C">
        <w:rPr>
          <w:rFonts w:asciiTheme="majorHAnsi" w:hAnsiTheme="majorHAnsi" w:cs="Calibri"/>
        </w:rPr>
        <w:t>კონვერტირებადი ვირტუალური აქტივის გადაცემა.</w:t>
      </w:r>
    </w:p>
    <w:p w14:paraId="4239FB2E" w14:textId="39566923" w:rsidR="009B12EA" w:rsidRPr="0042384C" w:rsidRDefault="009B12EA" w:rsidP="00291550">
      <w:pPr>
        <w:pStyle w:val="ListParagraph"/>
        <w:numPr>
          <w:ilvl w:val="0"/>
          <w:numId w:val="15"/>
        </w:numPr>
        <w:spacing w:line="276" w:lineRule="auto"/>
        <w:contextualSpacing w:val="0"/>
        <w:rPr>
          <w:rFonts w:asciiTheme="majorHAnsi" w:hAnsiTheme="majorHAnsi" w:cs="Calibri"/>
        </w:rPr>
      </w:pPr>
      <w:r w:rsidRPr="0042384C">
        <w:rPr>
          <w:rFonts w:asciiTheme="majorHAnsi" w:hAnsiTheme="majorHAnsi" w:cs="Calibri"/>
        </w:rPr>
        <w:t>კონვერტირებადი ვირტუალური აქტივის ან მისი გამოყენებისთვის საჭირო ინსტრუმენტის შენახვა/ადმინისტრირება, რაც ვირტუალურ აქტივზე კონტროლის საშუალებას იძლევა.</w:t>
      </w:r>
    </w:p>
    <w:p w14:paraId="4565F6EA" w14:textId="67D47E14" w:rsidR="009B12EA" w:rsidRPr="0042384C" w:rsidRDefault="009B12EA" w:rsidP="00291550">
      <w:pPr>
        <w:pStyle w:val="ListParagraph"/>
        <w:numPr>
          <w:ilvl w:val="0"/>
          <w:numId w:val="15"/>
        </w:numPr>
        <w:spacing w:line="276" w:lineRule="auto"/>
        <w:contextualSpacing w:val="0"/>
        <w:rPr>
          <w:rFonts w:asciiTheme="majorHAnsi" w:hAnsiTheme="majorHAnsi" w:cs="Calibri"/>
        </w:rPr>
      </w:pPr>
      <w:r w:rsidRPr="0042384C">
        <w:rPr>
          <w:rFonts w:asciiTheme="majorHAnsi" w:hAnsiTheme="majorHAnsi" w:cs="Calibri"/>
        </w:rPr>
        <w:t>კონვერტირებადი ვირტუალური აქტივებისგან შემდგარი პორტფელის მართვა (გარდა კოლექტიური პორტფელის მართვისა).</w:t>
      </w:r>
    </w:p>
    <w:p w14:paraId="73BE5BBA" w14:textId="761F7F8B" w:rsidR="009B12EA" w:rsidRPr="0042384C" w:rsidRDefault="009B12EA" w:rsidP="00291550">
      <w:pPr>
        <w:pStyle w:val="ListParagraph"/>
        <w:numPr>
          <w:ilvl w:val="0"/>
          <w:numId w:val="15"/>
        </w:numPr>
        <w:spacing w:line="276" w:lineRule="auto"/>
        <w:contextualSpacing w:val="0"/>
        <w:rPr>
          <w:rFonts w:asciiTheme="majorHAnsi" w:hAnsiTheme="majorHAnsi" w:cs="Calibri"/>
        </w:rPr>
      </w:pPr>
      <w:r w:rsidRPr="0042384C">
        <w:rPr>
          <w:rFonts w:asciiTheme="majorHAnsi" w:hAnsiTheme="majorHAnsi" w:cs="Calibri"/>
        </w:rPr>
        <w:t>კონვერტირებადი ვირტუალური აქტივების სავაჭრო პლატფორმის ადმინისტრირება.</w:t>
      </w:r>
    </w:p>
    <w:p w14:paraId="68D1DDE9" w14:textId="764A8B4F" w:rsidR="009B12EA" w:rsidRPr="0042384C" w:rsidRDefault="009B12EA" w:rsidP="00291550">
      <w:pPr>
        <w:pStyle w:val="ListParagraph"/>
        <w:numPr>
          <w:ilvl w:val="0"/>
          <w:numId w:val="15"/>
        </w:numPr>
        <w:spacing w:line="276" w:lineRule="auto"/>
        <w:contextualSpacing w:val="0"/>
        <w:rPr>
          <w:rFonts w:asciiTheme="majorHAnsi" w:hAnsiTheme="majorHAnsi" w:cs="Calibri"/>
        </w:rPr>
      </w:pPr>
      <w:r w:rsidRPr="0042384C">
        <w:rPr>
          <w:rFonts w:asciiTheme="majorHAnsi" w:hAnsiTheme="majorHAnsi" w:cs="Calibri"/>
        </w:rPr>
        <w:t>კონვერტირებადი ვირტუალური აქტივის სესხად გაცემა.</w:t>
      </w:r>
    </w:p>
    <w:p w14:paraId="563B30D9" w14:textId="77777777" w:rsidR="009B12EA" w:rsidRPr="0042384C" w:rsidRDefault="009B12EA" w:rsidP="00291550">
      <w:pPr>
        <w:pStyle w:val="ListParagraph"/>
        <w:numPr>
          <w:ilvl w:val="0"/>
          <w:numId w:val="15"/>
        </w:numPr>
        <w:spacing w:line="276" w:lineRule="auto"/>
        <w:contextualSpacing w:val="0"/>
        <w:rPr>
          <w:rFonts w:asciiTheme="majorHAnsi" w:hAnsiTheme="majorHAnsi" w:cs="Calibri"/>
        </w:rPr>
      </w:pPr>
      <w:r w:rsidRPr="0042384C">
        <w:rPr>
          <w:rFonts w:asciiTheme="majorHAnsi" w:hAnsiTheme="majorHAnsi" w:cs="Calibri"/>
        </w:rPr>
        <w:t xml:space="preserve">კონვერტირებადი ვირტუალური აქტივის პირველადი შეთავაზება ან/და პირველად შეთავაზებასთან დაკავშირებული მომსახურება. </w:t>
      </w:r>
    </w:p>
    <w:p w14:paraId="2D0005CD" w14:textId="79A9005B" w:rsidR="00EB0602" w:rsidRPr="0042384C" w:rsidRDefault="00EB0602" w:rsidP="00291550">
      <w:pPr>
        <w:jc w:val="both"/>
        <w:rPr>
          <w:rFonts w:asciiTheme="majorHAnsi" w:hAnsiTheme="majorHAnsi" w:cs="Calibri"/>
        </w:rPr>
      </w:pPr>
    </w:p>
    <w:p w14:paraId="0A502B6A" w14:textId="6F1EF9E8" w:rsidR="00EB0602" w:rsidRPr="0042384C" w:rsidRDefault="00EB0602" w:rsidP="003F7CDA">
      <w:pPr>
        <w:ind w:firstLine="270"/>
        <w:jc w:val="both"/>
        <w:rPr>
          <w:rFonts w:asciiTheme="majorHAnsi" w:hAnsiTheme="majorHAnsi" w:cs="Calibri"/>
        </w:rPr>
      </w:pPr>
      <w:r w:rsidRPr="0042384C">
        <w:rPr>
          <w:rFonts w:asciiTheme="majorHAnsi" w:hAnsiTheme="majorHAnsi" w:cs="Calibri"/>
        </w:rPr>
        <w:t xml:space="preserve">ვირტუალური აქტივის </w:t>
      </w:r>
      <w:r w:rsidR="009B12EA" w:rsidRPr="0042384C">
        <w:rPr>
          <w:rFonts w:asciiTheme="majorHAnsi" w:hAnsiTheme="majorHAnsi" w:cs="Calibri"/>
        </w:rPr>
        <w:t xml:space="preserve">აღნიშნული </w:t>
      </w:r>
      <w:r w:rsidRPr="0042384C">
        <w:rPr>
          <w:rFonts w:asciiTheme="majorHAnsi" w:hAnsiTheme="majorHAnsi" w:cs="Calibri"/>
        </w:rPr>
        <w:t>მომსახურებ</w:t>
      </w:r>
      <w:r w:rsidR="009B12EA" w:rsidRPr="0042384C">
        <w:rPr>
          <w:rFonts w:asciiTheme="majorHAnsi" w:hAnsiTheme="majorHAnsi" w:cs="Calibri"/>
        </w:rPr>
        <w:t>ებ</w:t>
      </w:r>
      <w:r w:rsidRPr="0042384C">
        <w:rPr>
          <w:rFonts w:asciiTheme="majorHAnsi" w:hAnsiTheme="majorHAnsi" w:cs="Calibri"/>
        </w:rPr>
        <w:t xml:space="preserve">ის გაწევის უფლებამოსილება </w:t>
      </w:r>
      <w:r w:rsidR="009B12EA" w:rsidRPr="0042384C">
        <w:rPr>
          <w:rFonts w:asciiTheme="majorHAnsi" w:hAnsiTheme="majorHAnsi" w:cs="Calibri"/>
        </w:rPr>
        <w:t xml:space="preserve">ასევე </w:t>
      </w:r>
      <w:r w:rsidRPr="0042384C">
        <w:rPr>
          <w:rFonts w:asciiTheme="majorHAnsi" w:hAnsiTheme="majorHAnsi" w:cs="Calibri"/>
        </w:rPr>
        <w:t xml:space="preserve">მიენიჭათ საფინანსო სექტორის </w:t>
      </w:r>
      <w:r w:rsidR="009B12EA" w:rsidRPr="0042384C">
        <w:rPr>
          <w:rFonts w:asciiTheme="majorHAnsi" w:hAnsiTheme="majorHAnsi" w:cs="Calibri"/>
        </w:rPr>
        <w:t xml:space="preserve">სხვა წარმომადგენლებს: </w:t>
      </w:r>
      <w:r w:rsidRPr="0042384C">
        <w:rPr>
          <w:rFonts w:asciiTheme="majorHAnsi" w:hAnsiTheme="majorHAnsi" w:cs="Calibri"/>
        </w:rPr>
        <w:t xml:space="preserve">კომერციული </w:t>
      </w:r>
      <w:r w:rsidRPr="0042384C">
        <w:rPr>
          <w:rFonts w:asciiTheme="majorHAnsi" w:hAnsiTheme="majorHAnsi" w:cs="Calibri"/>
        </w:rPr>
        <w:lastRenderedPageBreak/>
        <w:t>ბანკები</w:t>
      </w:r>
      <w:r w:rsidR="009B12EA" w:rsidRPr="0042384C">
        <w:rPr>
          <w:rFonts w:asciiTheme="majorHAnsi" w:hAnsiTheme="majorHAnsi" w:cs="Calibri"/>
        </w:rPr>
        <w:t xml:space="preserve">, </w:t>
      </w:r>
      <w:r w:rsidRPr="0042384C">
        <w:rPr>
          <w:rFonts w:asciiTheme="majorHAnsi" w:hAnsiTheme="majorHAnsi" w:cs="Calibri"/>
        </w:rPr>
        <w:t>მიკროსაფინანსო ორგანიზაციები</w:t>
      </w:r>
      <w:r w:rsidR="009B12EA" w:rsidRPr="0042384C">
        <w:rPr>
          <w:rFonts w:asciiTheme="majorHAnsi" w:hAnsiTheme="majorHAnsi" w:cs="Calibri"/>
        </w:rPr>
        <w:t xml:space="preserve"> და </w:t>
      </w:r>
      <w:r w:rsidRPr="0042384C">
        <w:rPr>
          <w:rFonts w:asciiTheme="majorHAnsi" w:hAnsiTheme="majorHAnsi" w:cs="Calibri"/>
        </w:rPr>
        <w:t xml:space="preserve">საბროკერო კომპანიები. </w:t>
      </w:r>
      <w:r w:rsidR="009B12EA" w:rsidRPr="0042384C">
        <w:rPr>
          <w:rFonts w:asciiTheme="majorHAnsi" w:hAnsiTheme="majorHAnsi" w:cs="Calibri"/>
        </w:rPr>
        <w:t>თუმცა</w:t>
      </w:r>
      <w:r w:rsidRPr="0042384C">
        <w:rPr>
          <w:rFonts w:asciiTheme="majorHAnsi" w:hAnsiTheme="majorHAnsi" w:cs="Calibri"/>
        </w:rPr>
        <w:t xml:space="preserve">, </w:t>
      </w:r>
      <w:r w:rsidR="009B12EA" w:rsidRPr="0042384C">
        <w:rPr>
          <w:rFonts w:asciiTheme="majorHAnsi" w:hAnsiTheme="majorHAnsi" w:cs="Calibri"/>
        </w:rPr>
        <w:t xml:space="preserve">ამ ეტაპზე </w:t>
      </w:r>
      <w:r w:rsidR="009C6CF2" w:rsidRPr="0042384C">
        <w:rPr>
          <w:rFonts w:asciiTheme="majorHAnsi" w:hAnsiTheme="majorHAnsi" w:cs="Calibri"/>
        </w:rPr>
        <w:t xml:space="preserve">არცერთ </w:t>
      </w:r>
      <w:r w:rsidR="00FF181C" w:rsidRPr="0042384C">
        <w:rPr>
          <w:rFonts w:asciiTheme="majorHAnsi" w:hAnsiTheme="majorHAnsi" w:cs="Calibri"/>
        </w:rPr>
        <w:t xml:space="preserve">სხვა </w:t>
      </w:r>
      <w:r w:rsidR="009C6CF2" w:rsidRPr="0042384C">
        <w:rPr>
          <w:rFonts w:asciiTheme="majorHAnsi" w:hAnsiTheme="majorHAnsi" w:cs="Calibri"/>
        </w:rPr>
        <w:t>სექტორში</w:t>
      </w:r>
      <w:r w:rsidRPr="0042384C">
        <w:rPr>
          <w:rFonts w:asciiTheme="majorHAnsi" w:hAnsiTheme="majorHAnsi" w:cs="Calibri"/>
        </w:rPr>
        <w:t xml:space="preserve"> არ </w:t>
      </w:r>
      <w:r w:rsidR="009C6CF2" w:rsidRPr="0042384C">
        <w:rPr>
          <w:rFonts w:asciiTheme="majorHAnsi" w:hAnsiTheme="majorHAnsi" w:cs="Calibri"/>
        </w:rPr>
        <w:t>ხორციელდება</w:t>
      </w:r>
      <w:r w:rsidRPr="0042384C">
        <w:rPr>
          <w:rFonts w:asciiTheme="majorHAnsi" w:hAnsiTheme="majorHAnsi" w:cs="Calibri"/>
        </w:rPr>
        <w:t xml:space="preserve"> ვირტუალური აქტივის მომსახურება.</w:t>
      </w:r>
    </w:p>
    <w:p w14:paraId="6C950A6A" w14:textId="4AA12406" w:rsidR="009C6CF2" w:rsidRPr="0042384C" w:rsidRDefault="009B12EA" w:rsidP="00C2005E">
      <w:pPr>
        <w:ind w:firstLine="270"/>
        <w:jc w:val="both"/>
        <w:rPr>
          <w:rFonts w:asciiTheme="majorHAnsi" w:hAnsiTheme="majorHAnsi" w:cs="Calibri"/>
        </w:rPr>
      </w:pPr>
      <w:r w:rsidRPr="0042384C">
        <w:rPr>
          <w:rFonts w:asciiTheme="majorHAnsi" w:hAnsiTheme="majorHAnsi" w:cs="Calibri"/>
        </w:rPr>
        <w:t xml:space="preserve">VASP-ად </w:t>
      </w:r>
      <w:r w:rsidR="009C6CF2" w:rsidRPr="0042384C">
        <w:rPr>
          <w:rFonts w:asciiTheme="majorHAnsi" w:hAnsiTheme="majorHAnsi" w:cs="Calibri"/>
        </w:rPr>
        <w:t xml:space="preserve">რეგისტრაციის </w:t>
      </w:r>
      <w:r w:rsidR="00134E61" w:rsidRPr="0042384C">
        <w:rPr>
          <w:rFonts w:asciiTheme="majorHAnsi" w:hAnsiTheme="majorHAnsi" w:cs="Calibri"/>
        </w:rPr>
        <w:t xml:space="preserve">პროცესში საქართველოს ეროვნული ბანკი, სხვა საკითხებთან ერთად, ამოწმებს რეგისტრაციის </w:t>
      </w:r>
      <w:r w:rsidR="00C2005E" w:rsidRPr="0042384C">
        <w:rPr>
          <w:rFonts w:asciiTheme="majorHAnsi" w:hAnsiTheme="majorHAnsi" w:cs="Calibri"/>
        </w:rPr>
        <w:t>მაძიებელი</w:t>
      </w:r>
      <w:r w:rsidR="00134E61" w:rsidRPr="0042384C">
        <w:rPr>
          <w:rFonts w:asciiTheme="majorHAnsi" w:hAnsiTheme="majorHAnsi" w:cs="Calibri"/>
        </w:rPr>
        <w:t xml:space="preserve"> პირის</w:t>
      </w:r>
      <w:r w:rsidR="00C2005E" w:rsidRPr="0042384C">
        <w:rPr>
          <w:rFonts w:asciiTheme="majorHAnsi" w:hAnsiTheme="majorHAnsi" w:cs="Calibri"/>
        </w:rPr>
        <w:t xml:space="preserve"> ორგანიზაციული რი</w:t>
      </w:r>
      <w:r w:rsidR="009473DA" w:rsidRPr="0042384C">
        <w:rPr>
          <w:rFonts w:asciiTheme="majorHAnsi" w:hAnsiTheme="majorHAnsi" w:cs="Calibri"/>
        </w:rPr>
        <w:t>ს</w:t>
      </w:r>
      <w:r w:rsidR="00C2005E" w:rsidRPr="0042384C">
        <w:rPr>
          <w:rFonts w:asciiTheme="majorHAnsi" w:hAnsiTheme="majorHAnsi" w:cs="Calibri"/>
        </w:rPr>
        <w:t xml:space="preserve">კების შეფასებას და მისი </w:t>
      </w:r>
      <w:r w:rsidR="00134E61" w:rsidRPr="0042384C">
        <w:rPr>
          <w:rFonts w:asciiTheme="majorHAnsi" w:hAnsiTheme="majorHAnsi" w:cs="Calibri"/>
        </w:rPr>
        <w:t>პროცედურების შესაბამისობას</w:t>
      </w:r>
      <w:r w:rsidR="009C6CF2" w:rsidRPr="0042384C">
        <w:rPr>
          <w:rFonts w:asciiTheme="majorHAnsi" w:hAnsiTheme="majorHAnsi" w:cs="Calibri"/>
        </w:rPr>
        <w:t xml:space="preserve"> ფულის გათეთრებ</w:t>
      </w:r>
      <w:r w:rsidR="009473DA" w:rsidRPr="0042384C">
        <w:rPr>
          <w:rFonts w:asciiTheme="majorHAnsi" w:hAnsiTheme="majorHAnsi" w:cs="Calibri"/>
        </w:rPr>
        <w:t>ის</w:t>
      </w:r>
      <w:r w:rsidR="009C6CF2" w:rsidRPr="0042384C">
        <w:rPr>
          <w:rFonts w:asciiTheme="majorHAnsi" w:hAnsiTheme="majorHAnsi" w:cs="Calibri"/>
        </w:rPr>
        <w:t xml:space="preserve"> და ტერორიზმის დაფინანსების </w:t>
      </w:r>
      <w:r w:rsidR="00C2005E" w:rsidRPr="0042384C">
        <w:rPr>
          <w:rFonts w:asciiTheme="majorHAnsi" w:hAnsiTheme="majorHAnsi" w:cs="Calibri"/>
        </w:rPr>
        <w:t>სა</w:t>
      </w:r>
      <w:r w:rsidR="003B0BD3" w:rsidRPr="0042384C">
        <w:rPr>
          <w:rFonts w:asciiTheme="majorHAnsi" w:hAnsiTheme="majorHAnsi" w:cs="Calibri"/>
        </w:rPr>
        <w:t>წ</w:t>
      </w:r>
      <w:r w:rsidR="00C2005E" w:rsidRPr="0042384C">
        <w:rPr>
          <w:rFonts w:asciiTheme="majorHAnsi" w:hAnsiTheme="majorHAnsi" w:cs="Calibri"/>
        </w:rPr>
        <w:t>ინააღმდეგო კანონმდებლობ</w:t>
      </w:r>
      <w:r w:rsidR="009473DA" w:rsidRPr="0042384C">
        <w:rPr>
          <w:rFonts w:asciiTheme="majorHAnsi" w:hAnsiTheme="majorHAnsi" w:cs="Calibri"/>
        </w:rPr>
        <w:t>ის მოთხოვნებთან</w:t>
      </w:r>
      <w:r w:rsidR="00C2005E" w:rsidRPr="0042384C">
        <w:rPr>
          <w:rFonts w:asciiTheme="majorHAnsi" w:hAnsiTheme="majorHAnsi" w:cs="Calibri"/>
        </w:rPr>
        <w:t xml:space="preserve">. VASP-ად რეგისტრაციის ერთ-ერთი </w:t>
      </w:r>
      <w:r w:rsidR="009473DA" w:rsidRPr="0042384C">
        <w:rPr>
          <w:rFonts w:asciiTheme="majorHAnsi" w:hAnsiTheme="majorHAnsi" w:cs="Calibri"/>
        </w:rPr>
        <w:t xml:space="preserve">მთავარი </w:t>
      </w:r>
      <w:r w:rsidR="00C2005E" w:rsidRPr="0042384C">
        <w:rPr>
          <w:rFonts w:asciiTheme="majorHAnsi" w:hAnsiTheme="majorHAnsi" w:cs="Calibri"/>
        </w:rPr>
        <w:t>პირობაა, საყურადღებო ტრანზაქციების გამოსავლენად, განაწილებული აღრიცხვის ტექნოლოგიის (DLT) დანერგვა და ე.წ. „privacy coin“-ების აკრძალვა. რეგისტრაციის პროცესში ასევე ხორციელდება რეგისტრაციის მაძიებელი პირის მნიშნელოვანი წილის მფლობელ</w:t>
      </w:r>
      <w:r w:rsidR="009473DA" w:rsidRPr="0042384C">
        <w:rPr>
          <w:rFonts w:asciiTheme="majorHAnsi" w:hAnsiTheme="majorHAnsi" w:cs="Calibri"/>
        </w:rPr>
        <w:t>ი პირების</w:t>
      </w:r>
      <w:r w:rsidR="00C2005E" w:rsidRPr="0042384C">
        <w:rPr>
          <w:rFonts w:asciiTheme="majorHAnsi" w:hAnsiTheme="majorHAnsi" w:cs="Calibri"/>
        </w:rPr>
        <w:t xml:space="preserve"> და ადმინისტრატორების რეპუტაციის, განათლებისა და პროფესიული კვალიფიკაციის შემოწმება.</w:t>
      </w:r>
    </w:p>
    <w:p w14:paraId="4C00CC5C" w14:textId="77777777" w:rsidR="00F5442A" w:rsidRPr="0042384C" w:rsidRDefault="00F5442A" w:rsidP="00F5442A">
      <w:pPr>
        <w:spacing w:line="276" w:lineRule="auto"/>
        <w:jc w:val="both"/>
        <w:rPr>
          <w:rFonts w:asciiTheme="majorHAnsi" w:hAnsiTheme="majorHAnsi"/>
          <w:lang w:eastAsia="en-US"/>
        </w:rPr>
      </w:pPr>
      <w:r w:rsidRPr="0042384C">
        <w:rPr>
          <w:rFonts w:asciiTheme="majorHAnsi" w:hAnsiTheme="majorHAnsi"/>
        </w:rPr>
        <w:t>რეგისტრაციის წესის ძალაში შესვლიდან (2023 წლის 1 ივლისი) აღნიშნული დოკუმენტის მომზადების თარიღისთვის</w:t>
      </w:r>
      <w:r w:rsidRPr="0042384C">
        <w:rPr>
          <w:rStyle w:val="FootnoteReference"/>
          <w:rFonts w:asciiTheme="majorHAnsi" w:hAnsiTheme="majorHAnsi"/>
        </w:rPr>
        <w:footnoteReference w:id="7"/>
      </w:r>
      <w:r w:rsidRPr="0042384C">
        <w:rPr>
          <w:rFonts w:asciiTheme="majorHAnsi" w:hAnsiTheme="majorHAnsi"/>
        </w:rPr>
        <w:t xml:space="preserve"> საქართველოს ეროვნულ ბანკში წარმოდგენილი განაცხადებისა და შესაბამისი სტატუსის შესახებ ინფორმაცია მოცემულია ქვემოთ ცხრილში:</w:t>
      </w:r>
    </w:p>
    <w:p w14:paraId="5EC2240E" w14:textId="77777777" w:rsidR="00F5442A" w:rsidRPr="0042384C" w:rsidRDefault="00F5442A" w:rsidP="00F5442A">
      <w:pPr>
        <w:jc w:val="both"/>
        <w:rPr>
          <w:rFonts w:asciiTheme="majorHAnsi" w:hAnsiTheme="majorHAnsi"/>
        </w:rPr>
      </w:pPr>
    </w:p>
    <w:tbl>
      <w:tblPr>
        <w:tblW w:w="0" w:type="auto"/>
        <w:jc w:val="center"/>
        <w:tblBorders>
          <w:top w:val="double" w:sz="4" w:space="0" w:color="auto"/>
          <w:left w:val="double" w:sz="4" w:space="0" w:color="auto"/>
          <w:bottom w:val="double" w:sz="4" w:space="0" w:color="auto"/>
          <w:right w:val="double" w:sz="4" w:space="0" w:color="auto"/>
          <w:insideH w:val="dotted" w:sz="4" w:space="0" w:color="auto"/>
          <w:insideV w:val="dotted" w:sz="4" w:space="0" w:color="auto"/>
        </w:tblBorders>
        <w:tblCellMar>
          <w:left w:w="0" w:type="dxa"/>
          <w:right w:w="0" w:type="dxa"/>
        </w:tblCellMar>
        <w:tblLook w:val="04A0" w:firstRow="1" w:lastRow="0" w:firstColumn="1" w:lastColumn="0" w:noHBand="0" w:noVBand="1"/>
      </w:tblPr>
      <w:tblGrid>
        <w:gridCol w:w="2589"/>
        <w:gridCol w:w="2327"/>
        <w:gridCol w:w="2470"/>
        <w:gridCol w:w="1610"/>
      </w:tblGrid>
      <w:tr w:rsidR="008E7E1E" w:rsidRPr="0042384C" w14:paraId="66BDDFC3" w14:textId="77777777" w:rsidTr="00F5442A">
        <w:trPr>
          <w:trHeight w:val="817"/>
          <w:jc w:val="center"/>
        </w:trPr>
        <w:tc>
          <w:tcPr>
            <w:tcW w:w="2743" w:type="dxa"/>
            <w:tcBorders>
              <w:top w:val="double" w:sz="4" w:space="0" w:color="auto"/>
              <w:left w:val="double" w:sz="4" w:space="0" w:color="auto"/>
              <w:bottom w:val="dotted" w:sz="4" w:space="0" w:color="auto"/>
              <w:right w:val="dotted" w:sz="4" w:space="0" w:color="auto"/>
            </w:tcBorders>
            <w:shd w:val="clear" w:color="auto" w:fill="D9E2F3" w:themeFill="accent5" w:themeFillTint="33"/>
            <w:tcMar>
              <w:top w:w="0" w:type="dxa"/>
              <w:left w:w="108" w:type="dxa"/>
              <w:bottom w:w="0" w:type="dxa"/>
              <w:right w:w="108" w:type="dxa"/>
            </w:tcMar>
            <w:vAlign w:val="center"/>
            <w:hideMark/>
          </w:tcPr>
          <w:p w14:paraId="58EE0DBE" w14:textId="77777777" w:rsidR="00F5442A" w:rsidRPr="0042384C" w:rsidRDefault="00F5442A">
            <w:pPr>
              <w:spacing w:line="256" w:lineRule="auto"/>
              <w:jc w:val="center"/>
              <w:rPr>
                <w:rFonts w:asciiTheme="majorHAnsi" w:hAnsiTheme="majorHAnsi"/>
                <w:b/>
                <w:bCs/>
              </w:rPr>
            </w:pPr>
            <w:r w:rsidRPr="0042384C">
              <w:rPr>
                <w:rFonts w:asciiTheme="majorHAnsi" w:hAnsiTheme="majorHAnsi"/>
                <w:b/>
                <w:bCs/>
              </w:rPr>
              <w:t>წარმოდგენილი განაცხადების რაოდენობა</w:t>
            </w:r>
          </w:p>
        </w:tc>
        <w:tc>
          <w:tcPr>
            <w:tcW w:w="2333" w:type="dxa"/>
            <w:tcBorders>
              <w:top w:val="double" w:sz="4" w:space="0" w:color="auto"/>
              <w:left w:val="dotted" w:sz="4" w:space="0" w:color="auto"/>
              <w:bottom w:val="dotted" w:sz="4" w:space="0" w:color="auto"/>
              <w:right w:val="dotted" w:sz="4" w:space="0" w:color="auto"/>
            </w:tcBorders>
            <w:shd w:val="clear" w:color="auto" w:fill="D9E2F3" w:themeFill="accent5" w:themeFillTint="33"/>
            <w:tcMar>
              <w:top w:w="0" w:type="dxa"/>
              <w:left w:w="108" w:type="dxa"/>
              <w:bottom w:w="0" w:type="dxa"/>
              <w:right w:w="108" w:type="dxa"/>
            </w:tcMar>
            <w:vAlign w:val="center"/>
            <w:hideMark/>
          </w:tcPr>
          <w:p w14:paraId="3F921800" w14:textId="77777777" w:rsidR="00F5442A" w:rsidRPr="0042384C" w:rsidRDefault="00F5442A">
            <w:pPr>
              <w:spacing w:line="256" w:lineRule="auto"/>
              <w:jc w:val="center"/>
              <w:rPr>
                <w:rFonts w:asciiTheme="majorHAnsi" w:hAnsiTheme="majorHAnsi" w:cs="Calibri"/>
                <w:b/>
                <w:bCs/>
              </w:rPr>
            </w:pPr>
            <w:r w:rsidRPr="0042384C">
              <w:rPr>
                <w:rFonts w:asciiTheme="majorHAnsi" w:hAnsiTheme="majorHAnsi"/>
                <w:b/>
                <w:bCs/>
              </w:rPr>
              <w:t>რეგისტრირებული VASP-ების რაოდენობა</w:t>
            </w:r>
          </w:p>
        </w:tc>
        <w:tc>
          <w:tcPr>
            <w:tcW w:w="2649" w:type="dxa"/>
            <w:tcBorders>
              <w:top w:val="double" w:sz="4" w:space="0" w:color="auto"/>
              <w:left w:val="dotted" w:sz="4" w:space="0" w:color="auto"/>
              <w:bottom w:val="dotted" w:sz="4" w:space="0" w:color="auto"/>
              <w:right w:val="dotted" w:sz="4" w:space="0" w:color="auto"/>
            </w:tcBorders>
            <w:shd w:val="clear" w:color="auto" w:fill="D9E2F3" w:themeFill="accent5" w:themeFillTint="33"/>
            <w:tcMar>
              <w:top w:w="0" w:type="dxa"/>
              <w:left w:w="108" w:type="dxa"/>
              <w:bottom w:w="0" w:type="dxa"/>
              <w:right w:w="108" w:type="dxa"/>
            </w:tcMar>
            <w:vAlign w:val="center"/>
            <w:hideMark/>
          </w:tcPr>
          <w:p w14:paraId="62AF9A01" w14:textId="77777777" w:rsidR="00F5442A" w:rsidRPr="0042384C" w:rsidRDefault="00F5442A">
            <w:pPr>
              <w:spacing w:line="256" w:lineRule="auto"/>
              <w:jc w:val="center"/>
              <w:rPr>
                <w:rFonts w:asciiTheme="majorHAnsi" w:hAnsiTheme="majorHAnsi"/>
                <w:b/>
                <w:bCs/>
              </w:rPr>
            </w:pPr>
            <w:r w:rsidRPr="0042384C">
              <w:rPr>
                <w:rFonts w:asciiTheme="majorHAnsi" w:hAnsiTheme="majorHAnsi"/>
                <w:b/>
                <w:bCs/>
              </w:rPr>
              <w:t>უარყოფილი განაცხადების რაოდენობა</w:t>
            </w:r>
          </w:p>
        </w:tc>
        <w:tc>
          <w:tcPr>
            <w:tcW w:w="1605" w:type="dxa"/>
            <w:tcBorders>
              <w:top w:val="double" w:sz="4" w:space="0" w:color="auto"/>
              <w:left w:val="dotted" w:sz="4" w:space="0" w:color="auto"/>
              <w:bottom w:val="dotted" w:sz="4" w:space="0" w:color="auto"/>
              <w:right w:val="double" w:sz="4" w:space="0" w:color="auto"/>
            </w:tcBorders>
            <w:shd w:val="clear" w:color="auto" w:fill="D9E2F3" w:themeFill="accent5" w:themeFillTint="33"/>
            <w:tcMar>
              <w:top w:w="0" w:type="dxa"/>
              <w:left w:w="108" w:type="dxa"/>
              <w:bottom w:w="0" w:type="dxa"/>
              <w:right w:w="108" w:type="dxa"/>
            </w:tcMar>
            <w:vAlign w:val="center"/>
            <w:hideMark/>
          </w:tcPr>
          <w:p w14:paraId="05B408AF" w14:textId="77777777" w:rsidR="00F5442A" w:rsidRPr="0042384C" w:rsidRDefault="00F5442A">
            <w:pPr>
              <w:spacing w:line="256" w:lineRule="auto"/>
              <w:jc w:val="center"/>
              <w:rPr>
                <w:rFonts w:asciiTheme="majorHAnsi" w:hAnsiTheme="majorHAnsi"/>
                <w:b/>
                <w:bCs/>
              </w:rPr>
            </w:pPr>
            <w:r w:rsidRPr="0042384C">
              <w:rPr>
                <w:rFonts w:asciiTheme="majorHAnsi" w:hAnsiTheme="majorHAnsi"/>
                <w:b/>
                <w:bCs/>
              </w:rPr>
              <w:t>მიმდინარე განაცხადები</w:t>
            </w:r>
          </w:p>
        </w:tc>
      </w:tr>
      <w:tr w:rsidR="008E7E1E" w:rsidRPr="0042384C" w14:paraId="7087FD87" w14:textId="77777777" w:rsidTr="00F5442A">
        <w:trPr>
          <w:trHeight w:val="817"/>
          <w:jc w:val="center"/>
        </w:trPr>
        <w:tc>
          <w:tcPr>
            <w:tcW w:w="2743" w:type="dxa"/>
            <w:tcBorders>
              <w:top w:val="dotted" w:sz="4" w:space="0" w:color="auto"/>
              <w:left w:val="double" w:sz="4" w:space="0" w:color="auto"/>
              <w:bottom w:val="double" w:sz="4" w:space="0" w:color="auto"/>
              <w:right w:val="dotted" w:sz="4" w:space="0" w:color="auto"/>
            </w:tcBorders>
            <w:tcMar>
              <w:top w:w="0" w:type="dxa"/>
              <w:left w:w="108" w:type="dxa"/>
              <w:bottom w:w="0" w:type="dxa"/>
              <w:right w:w="108" w:type="dxa"/>
            </w:tcMar>
            <w:vAlign w:val="center"/>
            <w:hideMark/>
          </w:tcPr>
          <w:p w14:paraId="1D3E32E7" w14:textId="77777777" w:rsidR="00F5442A" w:rsidRPr="0042384C" w:rsidRDefault="00F5442A">
            <w:pPr>
              <w:spacing w:line="256" w:lineRule="auto"/>
              <w:jc w:val="center"/>
              <w:rPr>
                <w:rFonts w:asciiTheme="majorHAnsi" w:hAnsiTheme="majorHAnsi"/>
              </w:rPr>
            </w:pPr>
            <w:r w:rsidRPr="0042384C">
              <w:rPr>
                <w:rFonts w:asciiTheme="majorHAnsi" w:hAnsiTheme="majorHAnsi"/>
              </w:rPr>
              <w:t>43</w:t>
            </w:r>
          </w:p>
        </w:tc>
        <w:tc>
          <w:tcPr>
            <w:tcW w:w="2333" w:type="dxa"/>
            <w:tcBorders>
              <w:top w:val="dotted" w:sz="4" w:space="0" w:color="auto"/>
              <w:left w:val="dotted" w:sz="4" w:space="0" w:color="auto"/>
              <w:bottom w:val="double" w:sz="4" w:space="0" w:color="auto"/>
              <w:right w:val="dotted" w:sz="4" w:space="0" w:color="auto"/>
            </w:tcBorders>
            <w:tcMar>
              <w:top w:w="0" w:type="dxa"/>
              <w:left w:w="108" w:type="dxa"/>
              <w:bottom w:w="0" w:type="dxa"/>
              <w:right w:w="108" w:type="dxa"/>
            </w:tcMar>
            <w:vAlign w:val="center"/>
            <w:hideMark/>
          </w:tcPr>
          <w:p w14:paraId="76339371" w14:textId="77777777" w:rsidR="00F5442A" w:rsidRPr="0042384C" w:rsidRDefault="00F5442A">
            <w:pPr>
              <w:spacing w:line="256" w:lineRule="auto"/>
              <w:jc w:val="center"/>
              <w:rPr>
                <w:rFonts w:asciiTheme="majorHAnsi" w:hAnsiTheme="majorHAnsi"/>
              </w:rPr>
            </w:pPr>
            <w:r w:rsidRPr="0042384C">
              <w:rPr>
                <w:rFonts w:asciiTheme="majorHAnsi" w:hAnsiTheme="majorHAnsi"/>
              </w:rPr>
              <w:t>12 (≈28%)</w:t>
            </w:r>
          </w:p>
        </w:tc>
        <w:tc>
          <w:tcPr>
            <w:tcW w:w="2649" w:type="dxa"/>
            <w:tcBorders>
              <w:top w:val="dotted" w:sz="4" w:space="0" w:color="auto"/>
              <w:left w:val="dotted" w:sz="4" w:space="0" w:color="auto"/>
              <w:bottom w:val="double" w:sz="4" w:space="0" w:color="auto"/>
              <w:right w:val="dotted" w:sz="4" w:space="0" w:color="auto"/>
            </w:tcBorders>
            <w:tcMar>
              <w:top w:w="0" w:type="dxa"/>
              <w:left w:w="108" w:type="dxa"/>
              <w:bottom w:w="0" w:type="dxa"/>
              <w:right w:w="108" w:type="dxa"/>
            </w:tcMar>
            <w:vAlign w:val="center"/>
            <w:hideMark/>
          </w:tcPr>
          <w:p w14:paraId="33AC59DA" w14:textId="77777777" w:rsidR="00F5442A" w:rsidRPr="0042384C" w:rsidRDefault="00F5442A">
            <w:pPr>
              <w:spacing w:line="256" w:lineRule="auto"/>
              <w:jc w:val="center"/>
              <w:rPr>
                <w:rFonts w:asciiTheme="majorHAnsi" w:hAnsiTheme="majorHAnsi"/>
              </w:rPr>
            </w:pPr>
            <w:r w:rsidRPr="0042384C">
              <w:rPr>
                <w:rFonts w:asciiTheme="majorHAnsi" w:hAnsiTheme="majorHAnsi"/>
              </w:rPr>
              <w:t>18 (≈42%)</w:t>
            </w:r>
          </w:p>
        </w:tc>
        <w:tc>
          <w:tcPr>
            <w:tcW w:w="1605" w:type="dxa"/>
            <w:tcBorders>
              <w:top w:val="dotted" w:sz="4" w:space="0" w:color="auto"/>
              <w:left w:val="dotted" w:sz="4" w:space="0" w:color="auto"/>
              <w:bottom w:val="double" w:sz="4" w:space="0" w:color="auto"/>
              <w:right w:val="double" w:sz="4" w:space="0" w:color="auto"/>
            </w:tcBorders>
            <w:tcMar>
              <w:top w:w="0" w:type="dxa"/>
              <w:left w:w="108" w:type="dxa"/>
              <w:bottom w:w="0" w:type="dxa"/>
              <w:right w:w="108" w:type="dxa"/>
            </w:tcMar>
            <w:vAlign w:val="center"/>
            <w:hideMark/>
          </w:tcPr>
          <w:p w14:paraId="75FFC726" w14:textId="77777777" w:rsidR="00F5442A" w:rsidRPr="0042384C" w:rsidRDefault="00F5442A">
            <w:pPr>
              <w:spacing w:line="256" w:lineRule="auto"/>
              <w:jc w:val="center"/>
              <w:rPr>
                <w:rFonts w:asciiTheme="majorHAnsi" w:hAnsiTheme="majorHAnsi"/>
              </w:rPr>
            </w:pPr>
            <w:r w:rsidRPr="0042384C">
              <w:rPr>
                <w:rFonts w:asciiTheme="majorHAnsi" w:hAnsiTheme="majorHAnsi"/>
              </w:rPr>
              <w:t>13 (≈30%)</w:t>
            </w:r>
          </w:p>
        </w:tc>
      </w:tr>
    </w:tbl>
    <w:p w14:paraId="5B387F08" w14:textId="77777777" w:rsidR="002E566C" w:rsidRPr="0042384C" w:rsidRDefault="002E566C" w:rsidP="00F5442A">
      <w:pPr>
        <w:spacing w:line="276" w:lineRule="auto"/>
        <w:jc w:val="both"/>
        <w:rPr>
          <w:rFonts w:asciiTheme="majorHAnsi" w:hAnsiTheme="majorHAnsi"/>
        </w:rPr>
      </w:pPr>
    </w:p>
    <w:p w14:paraId="5ACAA1B6" w14:textId="24794428" w:rsidR="00F5442A" w:rsidRPr="0042384C" w:rsidRDefault="00F5442A" w:rsidP="00F5442A">
      <w:pPr>
        <w:spacing w:line="276" w:lineRule="auto"/>
        <w:jc w:val="both"/>
        <w:rPr>
          <w:rFonts w:asciiTheme="majorHAnsi" w:hAnsiTheme="majorHAnsi"/>
        </w:rPr>
      </w:pPr>
      <w:r w:rsidRPr="0042384C">
        <w:rPr>
          <w:rFonts w:asciiTheme="majorHAnsi" w:hAnsiTheme="majorHAnsi"/>
        </w:rPr>
        <w:t xml:space="preserve">მონაცემების ანალიზისთვის გასათვალისწინებელია შემდეგი გარემოებები: </w:t>
      </w:r>
    </w:p>
    <w:p w14:paraId="2AAA9936" w14:textId="77777777" w:rsidR="00F5442A" w:rsidRPr="0042384C" w:rsidRDefault="00F5442A" w:rsidP="00F5442A">
      <w:pPr>
        <w:spacing w:line="276" w:lineRule="auto"/>
        <w:jc w:val="both"/>
        <w:rPr>
          <w:rFonts w:asciiTheme="majorHAnsi" w:hAnsiTheme="majorHAnsi"/>
          <w:color w:val="00B050"/>
        </w:rPr>
      </w:pPr>
    </w:p>
    <w:p w14:paraId="6DC47B24" w14:textId="77777777" w:rsidR="00F5442A" w:rsidRPr="0042384C" w:rsidRDefault="00F5442A" w:rsidP="00F5442A">
      <w:pPr>
        <w:pStyle w:val="ListParagraph"/>
        <w:numPr>
          <w:ilvl w:val="0"/>
          <w:numId w:val="22"/>
        </w:numPr>
        <w:spacing w:line="276" w:lineRule="auto"/>
        <w:contextualSpacing w:val="0"/>
        <w:jc w:val="both"/>
        <w:rPr>
          <w:rFonts w:asciiTheme="majorHAnsi" w:hAnsiTheme="majorHAnsi"/>
        </w:rPr>
      </w:pPr>
      <w:r w:rsidRPr="0042384C">
        <w:rPr>
          <w:rFonts w:asciiTheme="majorHAnsi" w:hAnsiTheme="majorHAnsi"/>
        </w:rPr>
        <w:t xml:space="preserve">რეგისტრირებული თორმეტი VASP-იდან მხოლოდ ერთი VASP-ი იყო რეგისტრირებული 2023 წლის 31 დეკემბრის მდგომარეობით, ხოლო დანარჩენი VASP-ების რეგისტრაცია მოხდა 2024 წლის განმავლობაში. </w:t>
      </w:r>
    </w:p>
    <w:p w14:paraId="026E3774" w14:textId="716BBA96" w:rsidR="00F5442A" w:rsidRPr="0042384C" w:rsidRDefault="00F5442A" w:rsidP="003F7CDA">
      <w:pPr>
        <w:pStyle w:val="ListParagraph"/>
        <w:numPr>
          <w:ilvl w:val="0"/>
          <w:numId w:val="22"/>
        </w:numPr>
        <w:spacing w:line="276" w:lineRule="auto"/>
        <w:contextualSpacing w:val="0"/>
        <w:jc w:val="both"/>
        <w:rPr>
          <w:rFonts w:asciiTheme="majorHAnsi" w:hAnsiTheme="majorHAnsi"/>
        </w:rPr>
      </w:pPr>
      <w:r w:rsidRPr="0042384C">
        <w:rPr>
          <w:rFonts w:asciiTheme="majorHAnsi" w:hAnsiTheme="majorHAnsi"/>
        </w:rPr>
        <w:t xml:space="preserve">რეგისტრირებული თორმეტი VASP-იდან, 2023 წლის 1 იანვრამდე საქმიანობას ახორციელებდა ათი VASP-ი, ხოლო, დანარჩენი ორი საქმიანობას დაიწყებს რეგისტრაციის შემდეგ. </w:t>
      </w:r>
    </w:p>
    <w:p w14:paraId="1DC845EE" w14:textId="164D4301" w:rsidR="002E566C" w:rsidRPr="0042384C" w:rsidRDefault="00F5442A" w:rsidP="00F5442A">
      <w:pPr>
        <w:spacing w:line="276" w:lineRule="auto"/>
        <w:jc w:val="both"/>
        <w:rPr>
          <w:rFonts w:asciiTheme="majorHAnsi" w:hAnsiTheme="majorHAnsi"/>
        </w:rPr>
      </w:pPr>
      <w:r w:rsidRPr="0042384C">
        <w:rPr>
          <w:rFonts w:asciiTheme="majorHAnsi" w:hAnsiTheme="majorHAnsi"/>
        </w:rPr>
        <w:t xml:space="preserve">დაინტერესებული პირების მიერ საქართველოს ეროვნულ ბანკში ვირტუალური აქტივის მომსახურების პროვაიდერად რეგისტრაციის მიზნით წარმოდგენილი დოკუმენტაციის AML/CFT კუთხით შეფასებისას გამოიკვეთა მნიშვნელოვანი ნაკლოვანებები AML/CFT შიდა ინსტრუქციების გამართულობის, სრულყოფილებისა და საკანონმდებლო მოთხოვნებთან შესაბამისობის კუთხით. </w:t>
      </w:r>
      <w:r w:rsidRPr="0042384C">
        <w:rPr>
          <w:rFonts w:asciiTheme="majorHAnsi" w:hAnsiTheme="majorHAnsi"/>
        </w:rPr>
        <w:lastRenderedPageBreak/>
        <w:t xml:space="preserve">მაგალითად, რიგ შემთხვევებში არასრულყოფილად/ხარვეზებით იყო წარმოდგენილი პრევენციული ღონისძიებების განხორციელების, კლიენტისათვის რისკის მინიჭების/გადაფასების, საეჭვო/უჩვეულო გარიგებების გამოვლენის პროცესები. </w:t>
      </w:r>
    </w:p>
    <w:p w14:paraId="5E7C5DB0" w14:textId="098A8803" w:rsidR="00F5442A" w:rsidRPr="0042384C" w:rsidRDefault="00952A3E" w:rsidP="00F5442A">
      <w:pPr>
        <w:spacing w:line="276" w:lineRule="auto"/>
        <w:jc w:val="both"/>
        <w:rPr>
          <w:rFonts w:asciiTheme="majorHAnsi" w:hAnsiTheme="majorHAnsi"/>
        </w:rPr>
      </w:pPr>
      <w:r w:rsidRPr="0042384C">
        <w:rPr>
          <w:rFonts w:asciiTheme="majorHAnsi" w:hAnsiTheme="majorHAnsi"/>
        </w:rPr>
        <w:t xml:space="preserve">საქართველოს </w:t>
      </w:r>
      <w:r w:rsidR="00F5442A" w:rsidRPr="0042384C">
        <w:rPr>
          <w:rFonts w:asciiTheme="majorHAnsi" w:hAnsiTheme="majorHAnsi"/>
        </w:rPr>
        <w:t>ეროვნულ ბანკში რეგისტრირებული თორმეტი VASP-ის მიერ შეთავაზებული ვირტუალური აქტივის მომსახურების სახეები მოცემულია ქვემოთ ცხრილში:</w:t>
      </w:r>
    </w:p>
    <w:p w14:paraId="751743E1" w14:textId="4D1C73DD" w:rsidR="002E566C" w:rsidRPr="0042384C" w:rsidRDefault="002E566C" w:rsidP="00F5442A">
      <w:pPr>
        <w:spacing w:line="276" w:lineRule="auto"/>
        <w:jc w:val="both"/>
        <w:rPr>
          <w:rFonts w:asciiTheme="majorHAnsi" w:hAnsiTheme="majorHAnsi"/>
          <w:lang w:eastAsia="en-US"/>
        </w:rPr>
      </w:pPr>
    </w:p>
    <w:tbl>
      <w:tblPr>
        <w:tblpPr w:leftFromText="180" w:rightFromText="180" w:bottomFromText="160" w:vertAnchor="text" w:horzAnchor="margin" w:tblpY="345"/>
        <w:tblW w:w="8918" w:type="dxa"/>
        <w:tblBorders>
          <w:top w:val="double" w:sz="4" w:space="0" w:color="auto"/>
          <w:left w:val="double" w:sz="4" w:space="0" w:color="auto"/>
          <w:bottom w:val="double" w:sz="4" w:space="0" w:color="auto"/>
          <w:right w:val="double" w:sz="4" w:space="0" w:color="auto"/>
          <w:insideH w:val="dotted" w:sz="4" w:space="0" w:color="auto"/>
          <w:insideV w:val="dotted" w:sz="4" w:space="0" w:color="auto"/>
        </w:tblBorders>
        <w:tblLayout w:type="fixed"/>
        <w:tblCellMar>
          <w:left w:w="144" w:type="dxa"/>
          <w:right w:w="29" w:type="dxa"/>
        </w:tblCellMar>
        <w:tblLook w:val="04A0" w:firstRow="1" w:lastRow="0" w:firstColumn="1" w:lastColumn="0" w:noHBand="0" w:noVBand="1"/>
      </w:tblPr>
      <w:tblGrid>
        <w:gridCol w:w="5848"/>
        <w:gridCol w:w="3070"/>
      </w:tblGrid>
      <w:tr w:rsidR="00433827" w:rsidRPr="0042384C" w14:paraId="25A2FEA0" w14:textId="77777777" w:rsidTr="002E566C">
        <w:trPr>
          <w:trHeight w:val="426"/>
        </w:trPr>
        <w:tc>
          <w:tcPr>
            <w:tcW w:w="5848" w:type="dxa"/>
            <w:tcBorders>
              <w:top w:val="double" w:sz="4" w:space="0" w:color="auto"/>
              <w:left w:val="double" w:sz="4" w:space="0" w:color="auto"/>
              <w:bottom w:val="dotted" w:sz="4" w:space="0" w:color="auto"/>
              <w:right w:val="dotted" w:sz="4" w:space="0" w:color="auto"/>
            </w:tcBorders>
            <w:shd w:val="clear" w:color="auto" w:fill="D9E2F3" w:themeFill="accent5" w:themeFillTint="33"/>
            <w:vAlign w:val="center"/>
            <w:hideMark/>
          </w:tcPr>
          <w:p w14:paraId="1AA79DF1" w14:textId="77777777" w:rsidR="00433827" w:rsidRPr="0042384C" w:rsidRDefault="00433827" w:rsidP="00433827">
            <w:pPr>
              <w:jc w:val="center"/>
              <w:rPr>
                <w:rFonts w:asciiTheme="majorHAnsi" w:hAnsiTheme="majorHAnsi"/>
                <w:b/>
                <w:bCs/>
                <w:color w:val="000000"/>
                <w:sz w:val="22"/>
                <w:szCs w:val="22"/>
              </w:rPr>
            </w:pPr>
            <w:r w:rsidRPr="0042384C">
              <w:rPr>
                <w:rFonts w:asciiTheme="majorHAnsi" w:hAnsiTheme="majorHAnsi"/>
                <w:b/>
                <w:bCs/>
                <w:sz w:val="22"/>
                <w:szCs w:val="22"/>
              </w:rPr>
              <w:t>რეგისტრირებული VASP-ების მიერ შეთავაზებული მომსახურების სახეები</w:t>
            </w:r>
            <w:r w:rsidRPr="0042384C">
              <w:rPr>
                <w:rStyle w:val="FootnoteReference"/>
                <w:rFonts w:asciiTheme="majorHAnsi" w:hAnsiTheme="majorHAnsi"/>
                <w:b/>
                <w:bCs/>
                <w:sz w:val="22"/>
                <w:szCs w:val="22"/>
              </w:rPr>
              <w:footnoteReference w:id="8"/>
            </w:r>
            <w:r w:rsidRPr="0042384C">
              <w:rPr>
                <w:rFonts w:asciiTheme="majorHAnsi" w:hAnsiTheme="majorHAnsi"/>
                <w:b/>
                <w:bCs/>
                <w:sz w:val="22"/>
                <w:szCs w:val="22"/>
              </w:rPr>
              <w:t xml:space="preserve"> </w:t>
            </w:r>
          </w:p>
        </w:tc>
        <w:tc>
          <w:tcPr>
            <w:tcW w:w="3070" w:type="dxa"/>
            <w:tcBorders>
              <w:top w:val="double" w:sz="4" w:space="0" w:color="auto"/>
              <w:left w:val="dotted" w:sz="4" w:space="0" w:color="auto"/>
              <w:bottom w:val="dotted" w:sz="4" w:space="0" w:color="auto"/>
              <w:right w:val="double" w:sz="4" w:space="0" w:color="auto"/>
            </w:tcBorders>
            <w:shd w:val="clear" w:color="auto" w:fill="D9E2F3" w:themeFill="accent5" w:themeFillTint="33"/>
            <w:vAlign w:val="center"/>
            <w:hideMark/>
          </w:tcPr>
          <w:p w14:paraId="2B62E006" w14:textId="77777777" w:rsidR="00433827" w:rsidRPr="0042384C" w:rsidRDefault="00433827" w:rsidP="00433827">
            <w:pPr>
              <w:autoSpaceDE w:val="0"/>
              <w:autoSpaceDN w:val="0"/>
              <w:ind w:right="142"/>
              <w:jc w:val="center"/>
              <w:rPr>
                <w:rFonts w:asciiTheme="majorHAnsi" w:hAnsiTheme="majorHAnsi"/>
                <w:b/>
                <w:bCs/>
                <w:color w:val="000000"/>
                <w:sz w:val="22"/>
                <w:szCs w:val="22"/>
              </w:rPr>
            </w:pPr>
            <w:r w:rsidRPr="0042384C">
              <w:rPr>
                <w:rFonts w:asciiTheme="majorHAnsi" w:hAnsiTheme="majorHAnsi"/>
                <w:b/>
                <w:bCs/>
                <w:color w:val="000000"/>
                <w:sz w:val="22"/>
                <w:szCs w:val="22"/>
              </w:rPr>
              <w:t>VASP რაოდენობა</w:t>
            </w:r>
          </w:p>
          <w:p w14:paraId="0B3905DF" w14:textId="77777777" w:rsidR="00433827" w:rsidRPr="0042384C" w:rsidRDefault="00433827" w:rsidP="00433827">
            <w:pPr>
              <w:autoSpaceDE w:val="0"/>
              <w:autoSpaceDN w:val="0"/>
              <w:ind w:right="142"/>
              <w:jc w:val="center"/>
              <w:rPr>
                <w:rFonts w:asciiTheme="majorHAnsi" w:hAnsiTheme="majorHAnsi"/>
                <w:b/>
                <w:bCs/>
                <w:color w:val="000000"/>
                <w:sz w:val="22"/>
                <w:szCs w:val="22"/>
              </w:rPr>
            </w:pPr>
            <w:r w:rsidRPr="0042384C">
              <w:rPr>
                <w:rFonts w:asciiTheme="majorHAnsi" w:hAnsiTheme="majorHAnsi"/>
                <w:bCs/>
                <w:i/>
                <w:sz w:val="22"/>
                <w:szCs w:val="22"/>
              </w:rPr>
              <w:t>(ერთი და იგივე VASP-ი შეიძლება ეწეოდეს ერთზე მეტ ვირტუალური აქტივის მომსახურებას)</w:t>
            </w:r>
          </w:p>
        </w:tc>
      </w:tr>
      <w:tr w:rsidR="00433827" w:rsidRPr="0042384C" w14:paraId="37B3DA13" w14:textId="77777777" w:rsidTr="002E566C">
        <w:trPr>
          <w:trHeight w:val="277"/>
        </w:trPr>
        <w:tc>
          <w:tcPr>
            <w:tcW w:w="5848" w:type="dxa"/>
            <w:tcBorders>
              <w:top w:val="dotted" w:sz="4" w:space="0" w:color="auto"/>
              <w:left w:val="double" w:sz="4" w:space="0" w:color="auto"/>
              <w:bottom w:val="dotted" w:sz="4" w:space="0" w:color="auto"/>
              <w:right w:val="dotted" w:sz="4" w:space="0" w:color="auto"/>
            </w:tcBorders>
            <w:vAlign w:val="center"/>
            <w:hideMark/>
          </w:tcPr>
          <w:p w14:paraId="790F05F4" w14:textId="77777777" w:rsidR="00433827" w:rsidRPr="0042384C" w:rsidRDefault="00433827" w:rsidP="00433827">
            <w:pPr>
              <w:autoSpaceDE w:val="0"/>
              <w:autoSpaceDN w:val="0"/>
              <w:ind w:right="142"/>
              <w:rPr>
                <w:rFonts w:asciiTheme="majorHAnsi" w:hAnsiTheme="majorHAnsi"/>
                <w:b/>
                <w:bCs/>
                <w:color w:val="000000"/>
                <w:sz w:val="22"/>
                <w:szCs w:val="22"/>
              </w:rPr>
            </w:pPr>
            <w:r w:rsidRPr="0042384C">
              <w:rPr>
                <w:rFonts w:asciiTheme="majorHAnsi" w:hAnsiTheme="majorHAnsi"/>
                <w:b/>
                <w:bCs/>
                <w:color w:val="000000"/>
                <w:sz w:val="22"/>
                <w:szCs w:val="22"/>
              </w:rPr>
              <w:t>გადაცემა</w:t>
            </w:r>
          </w:p>
        </w:tc>
        <w:tc>
          <w:tcPr>
            <w:tcW w:w="3070" w:type="dxa"/>
            <w:tcBorders>
              <w:top w:val="dotted" w:sz="4" w:space="0" w:color="auto"/>
              <w:left w:val="dotted" w:sz="4" w:space="0" w:color="auto"/>
              <w:bottom w:val="dotted" w:sz="4" w:space="0" w:color="auto"/>
              <w:right w:val="double" w:sz="4" w:space="0" w:color="auto"/>
            </w:tcBorders>
            <w:vAlign w:val="center"/>
            <w:hideMark/>
          </w:tcPr>
          <w:p w14:paraId="50646CEF" w14:textId="77777777" w:rsidR="00433827" w:rsidRPr="0042384C" w:rsidRDefault="00433827" w:rsidP="00433827">
            <w:pPr>
              <w:autoSpaceDE w:val="0"/>
              <w:autoSpaceDN w:val="0"/>
              <w:ind w:left="142" w:right="142"/>
              <w:jc w:val="center"/>
              <w:rPr>
                <w:rFonts w:asciiTheme="majorHAnsi" w:hAnsiTheme="majorHAnsi"/>
                <w:bCs/>
                <w:color w:val="000000"/>
                <w:sz w:val="22"/>
                <w:szCs w:val="22"/>
              </w:rPr>
            </w:pPr>
            <w:r w:rsidRPr="0042384C">
              <w:rPr>
                <w:rFonts w:asciiTheme="majorHAnsi" w:hAnsiTheme="majorHAnsi"/>
                <w:bCs/>
                <w:color w:val="000000"/>
                <w:sz w:val="22"/>
                <w:szCs w:val="22"/>
              </w:rPr>
              <w:t>12</w:t>
            </w:r>
          </w:p>
        </w:tc>
      </w:tr>
      <w:tr w:rsidR="00433827" w:rsidRPr="0042384C" w14:paraId="64EEEADB" w14:textId="77777777" w:rsidTr="002E566C">
        <w:trPr>
          <w:trHeight w:val="277"/>
        </w:trPr>
        <w:tc>
          <w:tcPr>
            <w:tcW w:w="5848" w:type="dxa"/>
            <w:tcBorders>
              <w:top w:val="dotted" w:sz="4" w:space="0" w:color="auto"/>
              <w:left w:val="double" w:sz="4" w:space="0" w:color="auto"/>
              <w:bottom w:val="dotted" w:sz="4" w:space="0" w:color="auto"/>
              <w:right w:val="dotted" w:sz="4" w:space="0" w:color="auto"/>
            </w:tcBorders>
            <w:vAlign w:val="center"/>
            <w:hideMark/>
          </w:tcPr>
          <w:p w14:paraId="09C1EF29" w14:textId="77777777" w:rsidR="00433827" w:rsidRPr="0042384C" w:rsidRDefault="00433827" w:rsidP="00433827">
            <w:pPr>
              <w:autoSpaceDE w:val="0"/>
              <w:autoSpaceDN w:val="0"/>
              <w:ind w:right="142"/>
              <w:rPr>
                <w:rFonts w:asciiTheme="majorHAnsi" w:hAnsiTheme="majorHAnsi"/>
                <w:b/>
                <w:bCs/>
                <w:color w:val="000000"/>
                <w:sz w:val="22"/>
                <w:szCs w:val="22"/>
              </w:rPr>
            </w:pPr>
            <w:r w:rsidRPr="0042384C">
              <w:rPr>
                <w:rFonts w:asciiTheme="majorHAnsi" w:hAnsiTheme="majorHAnsi"/>
                <w:b/>
                <w:bCs/>
                <w:color w:val="000000"/>
                <w:sz w:val="22"/>
                <w:szCs w:val="22"/>
              </w:rPr>
              <w:t>შენახვა/ადმინისტრირება</w:t>
            </w:r>
          </w:p>
        </w:tc>
        <w:tc>
          <w:tcPr>
            <w:tcW w:w="3070" w:type="dxa"/>
            <w:tcBorders>
              <w:top w:val="dotted" w:sz="4" w:space="0" w:color="auto"/>
              <w:left w:val="dotted" w:sz="4" w:space="0" w:color="auto"/>
              <w:bottom w:val="dotted" w:sz="4" w:space="0" w:color="auto"/>
              <w:right w:val="double" w:sz="4" w:space="0" w:color="auto"/>
            </w:tcBorders>
            <w:vAlign w:val="center"/>
            <w:hideMark/>
          </w:tcPr>
          <w:p w14:paraId="7000ACB7" w14:textId="77777777" w:rsidR="00433827" w:rsidRPr="0042384C" w:rsidRDefault="00433827" w:rsidP="00433827">
            <w:pPr>
              <w:autoSpaceDE w:val="0"/>
              <w:autoSpaceDN w:val="0"/>
              <w:ind w:left="142" w:right="142"/>
              <w:jc w:val="center"/>
              <w:rPr>
                <w:rFonts w:asciiTheme="majorHAnsi" w:hAnsiTheme="majorHAnsi"/>
                <w:bCs/>
                <w:color w:val="000000"/>
                <w:sz w:val="22"/>
                <w:szCs w:val="22"/>
              </w:rPr>
            </w:pPr>
            <w:r w:rsidRPr="0042384C">
              <w:rPr>
                <w:rFonts w:asciiTheme="majorHAnsi" w:hAnsiTheme="majorHAnsi"/>
                <w:bCs/>
                <w:color w:val="000000"/>
                <w:sz w:val="22"/>
                <w:szCs w:val="22"/>
              </w:rPr>
              <w:t>4</w:t>
            </w:r>
          </w:p>
        </w:tc>
      </w:tr>
      <w:tr w:rsidR="00433827" w:rsidRPr="0042384C" w14:paraId="508294E6" w14:textId="77777777" w:rsidTr="002E566C">
        <w:trPr>
          <w:trHeight w:val="277"/>
        </w:trPr>
        <w:tc>
          <w:tcPr>
            <w:tcW w:w="5848" w:type="dxa"/>
            <w:tcBorders>
              <w:top w:val="dotted" w:sz="4" w:space="0" w:color="auto"/>
              <w:left w:val="double" w:sz="4" w:space="0" w:color="auto"/>
              <w:bottom w:val="dotted" w:sz="4" w:space="0" w:color="auto"/>
              <w:right w:val="dotted" w:sz="4" w:space="0" w:color="auto"/>
            </w:tcBorders>
            <w:vAlign w:val="center"/>
            <w:hideMark/>
          </w:tcPr>
          <w:p w14:paraId="3CB4AF7F" w14:textId="77777777" w:rsidR="00433827" w:rsidRPr="0042384C" w:rsidRDefault="00433827" w:rsidP="00433827">
            <w:pPr>
              <w:rPr>
                <w:rFonts w:asciiTheme="majorHAnsi" w:hAnsiTheme="majorHAnsi"/>
                <w:b/>
                <w:bCs/>
                <w:color w:val="000000"/>
                <w:sz w:val="22"/>
                <w:szCs w:val="22"/>
              </w:rPr>
            </w:pPr>
            <w:r w:rsidRPr="0042384C">
              <w:rPr>
                <w:rFonts w:asciiTheme="majorHAnsi" w:hAnsiTheme="majorHAnsi"/>
                <w:b/>
                <w:bCs/>
                <w:color w:val="000000"/>
                <w:sz w:val="22"/>
                <w:szCs w:val="22"/>
              </w:rPr>
              <w:t>სავაჭრო პლატფორმის ადმინისტრირება</w:t>
            </w:r>
          </w:p>
        </w:tc>
        <w:tc>
          <w:tcPr>
            <w:tcW w:w="3070" w:type="dxa"/>
            <w:tcBorders>
              <w:top w:val="dotted" w:sz="4" w:space="0" w:color="auto"/>
              <w:left w:val="dotted" w:sz="4" w:space="0" w:color="auto"/>
              <w:bottom w:val="dotted" w:sz="4" w:space="0" w:color="auto"/>
              <w:right w:val="double" w:sz="4" w:space="0" w:color="auto"/>
            </w:tcBorders>
            <w:vAlign w:val="center"/>
            <w:hideMark/>
          </w:tcPr>
          <w:p w14:paraId="7ABD701A" w14:textId="77777777" w:rsidR="00433827" w:rsidRPr="0042384C" w:rsidRDefault="00433827" w:rsidP="00433827">
            <w:pPr>
              <w:jc w:val="center"/>
              <w:rPr>
                <w:rFonts w:asciiTheme="majorHAnsi" w:hAnsiTheme="majorHAnsi"/>
                <w:bCs/>
                <w:color w:val="000000"/>
                <w:sz w:val="22"/>
                <w:szCs w:val="22"/>
              </w:rPr>
            </w:pPr>
            <w:r w:rsidRPr="0042384C">
              <w:rPr>
                <w:rFonts w:asciiTheme="majorHAnsi" w:hAnsiTheme="majorHAnsi"/>
                <w:bCs/>
                <w:color w:val="000000"/>
                <w:sz w:val="22"/>
                <w:szCs w:val="22"/>
              </w:rPr>
              <w:t>4</w:t>
            </w:r>
          </w:p>
        </w:tc>
      </w:tr>
      <w:tr w:rsidR="00433827" w:rsidRPr="0042384C" w14:paraId="3DEA2BBC" w14:textId="77777777" w:rsidTr="002E566C">
        <w:trPr>
          <w:trHeight w:val="277"/>
        </w:trPr>
        <w:tc>
          <w:tcPr>
            <w:tcW w:w="5848" w:type="dxa"/>
            <w:tcBorders>
              <w:top w:val="dotted" w:sz="4" w:space="0" w:color="auto"/>
              <w:left w:val="double" w:sz="4" w:space="0" w:color="auto"/>
              <w:bottom w:val="dotted" w:sz="4" w:space="0" w:color="auto"/>
              <w:right w:val="dotted" w:sz="4" w:space="0" w:color="auto"/>
            </w:tcBorders>
            <w:vAlign w:val="center"/>
            <w:hideMark/>
          </w:tcPr>
          <w:p w14:paraId="3C971458" w14:textId="77777777" w:rsidR="00433827" w:rsidRPr="0042384C" w:rsidRDefault="00433827" w:rsidP="00433827">
            <w:pPr>
              <w:rPr>
                <w:rFonts w:asciiTheme="majorHAnsi" w:hAnsiTheme="majorHAnsi"/>
                <w:b/>
                <w:bCs/>
                <w:color w:val="000000"/>
                <w:sz w:val="22"/>
                <w:szCs w:val="22"/>
              </w:rPr>
            </w:pPr>
            <w:r w:rsidRPr="0042384C">
              <w:rPr>
                <w:rFonts w:asciiTheme="majorHAnsi" w:hAnsiTheme="majorHAnsi"/>
                <w:b/>
                <w:bCs/>
                <w:color w:val="000000"/>
                <w:sz w:val="22"/>
                <w:szCs w:val="22"/>
              </w:rPr>
              <w:t xml:space="preserve">ურთიერთგადაცვლა </w:t>
            </w:r>
          </w:p>
          <w:p w14:paraId="0AF4572D" w14:textId="77777777" w:rsidR="00433827" w:rsidRPr="0042384C" w:rsidRDefault="00433827" w:rsidP="00433827">
            <w:pPr>
              <w:rPr>
                <w:rFonts w:asciiTheme="majorHAnsi" w:hAnsiTheme="majorHAnsi"/>
                <w:b/>
                <w:bCs/>
                <w:i/>
                <w:color w:val="000000"/>
                <w:sz w:val="22"/>
                <w:szCs w:val="22"/>
              </w:rPr>
            </w:pPr>
            <w:r w:rsidRPr="0042384C">
              <w:rPr>
                <w:rFonts w:asciiTheme="majorHAnsi" w:hAnsiTheme="majorHAnsi"/>
                <w:b/>
                <w:bCs/>
                <w:i/>
                <w:color w:val="000000"/>
                <w:sz w:val="22"/>
                <w:szCs w:val="22"/>
              </w:rPr>
              <w:t>(მათ შორის, თვითმომსახურების კიოსკის მეშვეობით):</w:t>
            </w:r>
          </w:p>
        </w:tc>
        <w:tc>
          <w:tcPr>
            <w:tcW w:w="3070" w:type="dxa"/>
            <w:tcBorders>
              <w:top w:val="dotted" w:sz="4" w:space="0" w:color="auto"/>
              <w:left w:val="dotted" w:sz="4" w:space="0" w:color="auto"/>
              <w:bottom w:val="dotted" w:sz="4" w:space="0" w:color="auto"/>
              <w:right w:val="double" w:sz="4" w:space="0" w:color="auto"/>
            </w:tcBorders>
            <w:vAlign w:val="center"/>
            <w:hideMark/>
          </w:tcPr>
          <w:p w14:paraId="5AC11FB4" w14:textId="77777777" w:rsidR="00433827" w:rsidRPr="0042384C" w:rsidRDefault="00433827" w:rsidP="00433827">
            <w:pPr>
              <w:jc w:val="center"/>
              <w:rPr>
                <w:rFonts w:asciiTheme="majorHAnsi" w:hAnsiTheme="majorHAnsi"/>
                <w:bCs/>
                <w:color w:val="000000"/>
                <w:sz w:val="22"/>
                <w:szCs w:val="22"/>
              </w:rPr>
            </w:pPr>
            <w:r w:rsidRPr="0042384C">
              <w:rPr>
                <w:rFonts w:asciiTheme="majorHAnsi" w:hAnsiTheme="majorHAnsi"/>
                <w:bCs/>
                <w:color w:val="000000"/>
                <w:sz w:val="22"/>
                <w:szCs w:val="22"/>
              </w:rPr>
              <w:t>-</w:t>
            </w:r>
          </w:p>
        </w:tc>
      </w:tr>
      <w:tr w:rsidR="00433827" w:rsidRPr="0042384C" w14:paraId="364CACF3" w14:textId="77777777" w:rsidTr="002E566C">
        <w:trPr>
          <w:trHeight w:val="277"/>
        </w:trPr>
        <w:tc>
          <w:tcPr>
            <w:tcW w:w="5848" w:type="dxa"/>
            <w:tcBorders>
              <w:top w:val="dotted" w:sz="4" w:space="0" w:color="auto"/>
              <w:left w:val="double" w:sz="4" w:space="0" w:color="auto"/>
              <w:bottom w:val="dotted" w:sz="4" w:space="0" w:color="auto"/>
              <w:right w:val="dotted" w:sz="4" w:space="0" w:color="auto"/>
            </w:tcBorders>
            <w:vAlign w:val="center"/>
            <w:hideMark/>
          </w:tcPr>
          <w:p w14:paraId="5B9CA1FD" w14:textId="77777777" w:rsidR="00433827" w:rsidRPr="0042384C" w:rsidRDefault="00433827" w:rsidP="00433827">
            <w:pPr>
              <w:ind w:left="720"/>
              <w:rPr>
                <w:rFonts w:asciiTheme="majorHAnsi" w:hAnsiTheme="majorHAnsi"/>
                <w:bCs/>
                <w:color w:val="000000"/>
                <w:sz w:val="22"/>
                <w:szCs w:val="22"/>
              </w:rPr>
            </w:pPr>
            <w:r w:rsidRPr="0042384C">
              <w:rPr>
                <w:rFonts w:asciiTheme="majorHAnsi" w:hAnsiTheme="majorHAnsi"/>
                <w:bCs/>
                <w:color w:val="000000"/>
                <w:sz w:val="22"/>
                <w:szCs w:val="22"/>
              </w:rPr>
              <w:t>ეროვნულ ან უცხოურ ვალუტაში</w:t>
            </w:r>
          </w:p>
        </w:tc>
        <w:tc>
          <w:tcPr>
            <w:tcW w:w="3070" w:type="dxa"/>
            <w:tcBorders>
              <w:top w:val="dotted" w:sz="4" w:space="0" w:color="auto"/>
              <w:left w:val="dotted" w:sz="4" w:space="0" w:color="auto"/>
              <w:bottom w:val="dotted" w:sz="4" w:space="0" w:color="auto"/>
              <w:right w:val="double" w:sz="4" w:space="0" w:color="auto"/>
            </w:tcBorders>
            <w:vAlign w:val="center"/>
            <w:hideMark/>
          </w:tcPr>
          <w:p w14:paraId="22FF46D2" w14:textId="77777777" w:rsidR="00433827" w:rsidRPr="0042384C" w:rsidRDefault="00433827" w:rsidP="00433827">
            <w:pPr>
              <w:jc w:val="center"/>
              <w:rPr>
                <w:rFonts w:asciiTheme="majorHAnsi" w:hAnsiTheme="majorHAnsi"/>
                <w:bCs/>
                <w:color w:val="000000"/>
                <w:sz w:val="22"/>
                <w:szCs w:val="22"/>
              </w:rPr>
            </w:pPr>
            <w:r w:rsidRPr="0042384C">
              <w:rPr>
                <w:rFonts w:asciiTheme="majorHAnsi" w:hAnsiTheme="majorHAnsi"/>
                <w:bCs/>
                <w:color w:val="000000"/>
                <w:sz w:val="22"/>
                <w:szCs w:val="22"/>
              </w:rPr>
              <w:t>12</w:t>
            </w:r>
          </w:p>
        </w:tc>
      </w:tr>
      <w:tr w:rsidR="00433827" w:rsidRPr="0042384C" w14:paraId="76A99055" w14:textId="77777777" w:rsidTr="002E566C">
        <w:trPr>
          <w:trHeight w:val="277"/>
        </w:trPr>
        <w:tc>
          <w:tcPr>
            <w:tcW w:w="5848" w:type="dxa"/>
            <w:tcBorders>
              <w:top w:val="dotted" w:sz="4" w:space="0" w:color="auto"/>
              <w:left w:val="double" w:sz="4" w:space="0" w:color="auto"/>
              <w:bottom w:val="dotted" w:sz="4" w:space="0" w:color="auto"/>
              <w:right w:val="dotted" w:sz="4" w:space="0" w:color="auto"/>
            </w:tcBorders>
            <w:vAlign w:val="center"/>
            <w:hideMark/>
          </w:tcPr>
          <w:p w14:paraId="3693A4C5" w14:textId="77777777" w:rsidR="00433827" w:rsidRPr="0042384C" w:rsidRDefault="00433827" w:rsidP="00433827">
            <w:pPr>
              <w:ind w:left="720"/>
              <w:rPr>
                <w:rFonts w:asciiTheme="majorHAnsi" w:hAnsiTheme="majorHAnsi"/>
                <w:bCs/>
                <w:color w:val="000000"/>
                <w:sz w:val="22"/>
                <w:szCs w:val="22"/>
              </w:rPr>
            </w:pPr>
            <w:r w:rsidRPr="0042384C">
              <w:rPr>
                <w:rFonts w:asciiTheme="majorHAnsi" w:hAnsiTheme="majorHAnsi"/>
                <w:bCs/>
                <w:color w:val="000000"/>
                <w:sz w:val="22"/>
                <w:szCs w:val="22"/>
              </w:rPr>
              <w:t>სხვა ვირტუალურ აქტივში</w:t>
            </w:r>
          </w:p>
        </w:tc>
        <w:tc>
          <w:tcPr>
            <w:tcW w:w="3070" w:type="dxa"/>
            <w:tcBorders>
              <w:top w:val="dotted" w:sz="4" w:space="0" w:color="auto"/>
              <w:left w:val="dotted" w:sz="4" w:space="0" w:color="auto"/>
              <w:bottom w:val="dotted" w:sz="4" w:space="0" w:color="auto"/>
              <w:right w:val="double" w:sz="4" w:space="0" w:color="auto"/>
            </w:tcBorders>
            <w:vAlign w:val="center"/>
            <w:hideMark/>
          </w:tcPr>
          <w:p w14:paraId="5924DFC6" w14:textId="77777777" w:rsidR="00433827" w:rsidRPr="0042384C" w:rsidRDefault="00433827" w:rsidP="00433827">
            <w:pPr>
              <w:jc w:val="center"/>
              <w:rPr>
                <w:rFonts w:asciiTheme="majorHAnsi" w:hAnsiTheme="majorHAnsi"/>
                <w:bCs/>
                <w:color w:val="000000"/>
                <w:sz w:val="22"/>
                <w:szCs w:val="22"/>
              </w:rPr>
            </w:pPr>
            <w:r w:rsidRPr="0042384C">
              <w:rPr>
                <w:rFonts w:asciiTheme="majorHAnsi" w:hAnsiTheme="majorHAnsi"/>
                <w:bCs/>
                <w:color w:val="000000"/>
                <w:sz w:val="22"/>
                <w:szCs w:val="22"/>
              </w:rPr>
              <w:t>5</w:t>
            </w:r>
          </w:p>
        </w:tc>
      </w:tr>
      <w:tr w:rsidR="00433827" w:rsidRPr="0042384C" w14:paraId="5DD453CC" w14:textId="77777777" w:rsidTr="002E566C">
        <w:trPr>
          <w:trHeight w:val="277"/>
        </w:trPr>
        <w:tc>
          <w:tcPr>
            <w:tcW w:w="5848" w:type="dxa"/>
            <w:tcBorders>
              <w:top w:val="dotted" w:sz="4" w:space="0" w:color="auto"/>
              <w:left w:val="double" w:sz="4" w:space="0" w:color="auto"/>
              <w:bottom w:val="dotted" w:sz="4" w:space="0" w:color="auto"/>
              <w:right w:val="dotted" w:sz="4" w:space="0" w:color="auto"/>
            </w:tcBorders>
            <w:vAlign w:val="center"/>
            <w:hideMark/>
          </w:tcPr>
          <w:p w14:paraId="6213122D" w14:textId="77777777" w:rsidR="00433827" w:rsidRPr="0042384C" w:rsidRDefault="00433827" w:rsidP="00433827">
            <w:pPr>
              <w:ind w:left="720"/>
              <w:rPr>
                <w:rFonts w:asciiTheme="majorHAnsi" w:hAnsiTheme="majorHAnsi"/>
                <w:bCs/>
                <w:color w:val="000000"/>
                <w:sz w:val="22"/>
                <w:szCs w:val="22"/>
              </w:rPr>
            </w:pPr>
            <w:r w:rsidRPr="0042384C">
              <w:rPr>
                <w:rFonts w:asciiTheme="majorHAnsi" w:hAnsiTheme="majorHAnsi"/>
                <w:bCs/>
                <w:color w:val="000000"/>
                <w:sz w:val="22"/>
                <w:szCs w:val="22"/>
              </w:rPr>
              <w:t>ფინანსურ ინსტრუმენტში</w:t>
            </w:r>
          </w:p>
        </w:tc>
        <w:tc>
          <w:tcPr>
            <w:tcW w:w="3070" w:type="dxa"/>
            <w:tcBorders>
              <w:top w:val="dotted" w:sz="4" w:space="0" w:color="auto"/>
              <w:left w:val="dotted" w:sz="4" w:space="0" w:color="auto"/>
              <w:bottom w:val="dotted" w:sz="4" w:space="0" w:color="auto"/>
              <w:right w:val="double" w:sz="4" w:space="0" w:color="auto"/>
            </w:tcBorders>
            <w:vAlign w:val="center"/>
            <w:hideMark/>
          </w:tcPr>
          <w:p w14:paraId="10AD2796" w14:textId="77777777" w:rsidR="00433827" w:rsidRPr="0042384C" w:rsidRDefault="00433827" w:rsidP="00433827">
            <w:pPr>
              <w:jc w:val="center"/>
              <w:rPr>
                <w:rFonts w:asciiTheme="majorHAnsi" w:hAnsiTheme="majorHAnsi"/>
                <w:bCs/>
                <w:color w:val="000000"/>
                <w:sz w:val="22"/>
                <w:szCs w:val="22"/>
              </w:rPr>
            </w:pPr>
            <w:r w:rsidRPr="0042384C">
              <w:rPr>
                <w:rFonts w:asciiTheme="majorHAnsi" w:hAnsiTheme="majorHAnsi"/>
                <w:bCs/>
                <w:color w:val="000000"/>
                <w:sz w:val="22"/>
                <w:szCs w:val="22"/>
              </w:rPr>
              <w:t>0</w:t>
            </w:r>
          </w:p>
        </w:tc>
      </w:tr>
      <w:tr w:rsidR="00433827" w:rsidRPr="0042384C" w14:paraId="21AB1A75" w14:textId="77777777" w:rsidTr="002E566C">
        <w:trPr>
          <w:trHeight w:val="277"/>
        </w:trPr>
        <w:tc>
          <w:tcPr>
            <w:tcW w:w="5848" w:type="dxa"/>
            <w:tcBorders>
              <w:top w:val="dotted" w:sz="4" w:space="0" w:color="auto"/>
              <w:left w:val="double" w:sz="4" w:space="0" w:color="auto"/>
              <w:bottom w:val="dotted" w:sz="4" w:space="0" w:color="auto"/>
              <w:right w:val="dotted" w:sz="4" w:space="0" w:color="auto"/>
            </w:tcBorders>
            <w:vAlign w:val="center"/>
            <w:hideMark/>
          </w:tcPr>
          <w:p w14:paraId="359F9CB1" w14:textId="77777777" w:rsidR="00433827" w:rsidRPr="0042384C" w:rsidRDefault="00433827" w:rsidP="00433827">
            <w:pPr>
              <w:rPr>
                <w:rFonts w:asciiTheme="majorHAnsi" w:hAnsiTheme="majorHAnsi"/>
                <w:b/>
                <w:bCs/>
                <w:color w:val="000000"/>
                <w:sz w:val="22"/>
                <w:szCs w:val="22"/>
              </w:rPr>
            </w:pPr>
            <w:r w:rsidRPr="0042384C">
              <w:rPr>
                <w:rFonts w:asciiTheme="majorHAnsi" w:hAnsiTheme="majorHAnsi"/>
                <w:b/>
                <w:bCs/>
                <w:color w:val="000000"/>
                <w:sz w:val="22"/>
                <w:szCs w:val="22"/>
              </w:rPr>
              <w:t>პირველადი შეთავაზება</w:t>
            </w:r>
          </w:p>
        </w:tc>
        <w:tc>
          <w:tcPr>
            <w:tcW w:w="3070" w:type="dxa"/>
            <w:tcBorders>
              <w:top w:val="dotted" w:sz="4" w:space="0" w:color="auto"/>
              <w:left w:val="dotted" w:sz="4" w:space="0" w:color="auto"/>
              <w:bottom w:val="dotted" w:sz="4" w:space="0" w:color="auto"/>
              <w:right w:val="double" w:sz="4" w:space="0" w:color="auto"/>
            </w:tcBorders>
            <w:vAlign w:val="center"/>
            <w:hideMark/>
          </w:tcPr>
          <w:p w14:paraId="474AF523" w14:textId="77777777" w:rsidR="00433827" w:rsidRPr="0042384C" w:rsidRDefault="00433827" w:rsidP="00433827">
            <w:pPr>
              <w:jc w:val="center"/>
              <w:rPr>
                <w:rFonts w:asciiTheme="majorHAnsi" w:hAnsiTheme="majorHAnsi"/>
                <w:bCs/>
                <w:color w:val="000000"/>
                <w:sz w:val="22"/>
                <w:szCs w:val="22"/>
              </w:rPr>
            </w:pPr>
            <w:r w:rsidRPr="0042384C">
              <w:rPr>
                <w:rFonts w:asciiTheme="majorHAnsi" w:hAnsiTheme="majorHAnsi"/>
                <w:bCs/>
                <w:color w:val="000000"/>
                <w:sz w:val="22"/>
                <w:szCs w:val="22"/>
              </w:rPr>
              <w:t>2</w:t>
            </w:r>
          </w:p>
        </w:tc>
      </w:tr>
      <w:tr w:rsidR="00433827" w:rsidRPr="0042384C" w14:paraId="0A196DCF" w14:textId="77777777" w:rsidTr="002E566C">
        <w:trPr>
          <w:trHeight w:val="277"/>
        </w:trPr>
        <w:tc>
          <w:tcPr>
            <w:tcW w:w="5848" w:type="dxa"/>
            <w:tcBorders>
              <w:top w:val="dotted" w:sz="4" w:space="0" w:color="auto"/>
              <w:left w:val="double" w:sz="4" w:space="0" w:color="auto"/>
              <w:bottom w:val="dotted" w:sz="4" w:space="0" w:color="auto"/>
              <w:right w:val="dotted" w:sz="4" w:space="0" w:color="auto"/>
            </w:tcBorders>
            <w:vAlign w:val="center"/>
            <w:hideMark/>
          </w:tcPr>
          <w:p w14:paraId="3C22ACB5" w14:textId="77777777" w:rsidR="00433827" w:rsidRPr="0042384C" w:rsidRDefault="00433827" w:rsidP="00433827">
            <w:pPr>
              <w:rPr>
                <w:rFonts w:asciiTheme="majorHAnsi" w:hAnsiTheme="majorHAnsi"/>
                <w:b/>
                <w:bCs/>
                <w:color w:val="000000"/>
                <w:sz w:val="22"/>
                <w:szCs w:val="22"/>
              </w:rPr>
            </w:pPr>
            <w:r w:rsidRPr="0042384C">
              <w:rPr>
                <w:rFonts w:asciiTheme="majorHAnsi" w:hAnsiTheme="majorHAnsi"/>
                <w:b/>
                <w:bCs/>
                <w:color w:val="000000"/>
                <w:sz w:val="22"/>
                <w:szCs w:val="22"/>
              </w:rPr>
              <w:t>პირველად შეთავაზებასთან დაკავშირებული მომსახურება</w:t>
            </w:r>
          </w:p>
        </w:tc>
        <w:tc>
          <w:tcPr>
            <w:tcW w:w="3070" w:type="dxa"/>
            <w:tcBorders>
              <w:top w:val="dotted" w:sz="4" w:space="0" w:color="auto"/>
              <w:left w:val="dotted" w:sz="4" w:space="0" w:color="auto"/>
              <w:bottom w:val="dotted" w:sz="4" w:space="0" w:color="auto"/>
              <w:right w:val="double" w:sz="4" w:space="0" w:color="auto"/>
            </w:tcBorders>
            <w:vAlign w:val="center"/>
            <w:hideMark/>
          </w:tcPr>
          <w:p w14:paraId="19486A0F" w14:textId="77777777" w:rsidR="00433827" w:rsidRPr="0042384C" w:rsidRDefault="00433827" w:rsidP="00433827">
            <w:pPr>
              <w:jc w:val="center"/>
              <w:rPr>
                <w:rFonts w:asciiTheme="majorHAnsi" w:hAnsiTheme="majorHAnsi"/>
                <w:bCs/>
                <w:color w:val="000000"/>
                <w:sz w:val="22"/>
                <w:szCs w:val="22"/>
              </w:rPr>
            </w:pPr>
            <w:r w:rsidRPr="0042384C">
              <w:rPr>
                <w:rFonts w:asciiTheme="majorHAnsi" w:hAnsiTheme="majorHAnsi"/>
                <w:bCs/>
                <w:color w:val="000000"/>
                <w:sz w:val="22"/>
                <w:szCs w:val="22"/>
              </w:rPr>
              <w:t>0</w:t>
            </w:r>
          </w:p>
        </w:tc>
      </w:tr>
      <w:tr w:rsidR="00433827" w:rsidRPr="0042384C" w14:paraId="2E0AE8F8" w14:textId="77777777" w:rsidTr="002E566C">
        <w:trPr>
          <w:trHeight w:val="277"/>
        </w:trPr>
        <w:tc>
          <w:tcPr>
            <w:tcW w:w="5848" w:type="dxa"/>
            <w:tcBorders>
              <w:top w:val="dotted" w:sz="4" w:space="0" w:color="auto"/>
              <w:left w:val="double" w:sz="4" w:space="0" w:color="auto"/>
              <w:bottom w:val="dotted" w:sz="4" w:space="0" w:color="auto"/>
              <w:right w:val="dotted" w:sz="4" w:space="0" w:color="auto"/>
            </w:tcBorders>
            <w:vAlign w:val="center"/>
            <w:hideMark/>
          </w:tcPr>
          <w:p w14:paraId="0C96660F" w14:textId="77777777" w:rsidR="00433827" w:rsidRPr="0042384C" w:rsidRDefault="00433827" w:rsidP="00433827">
            <w:pPr>
              <w:autoSpaceDE w:val="0"/>
              <w:autoSpaceDN w:val="0"/>
              <w:ind w:right="142"/>
              <w:rPr>
                <w:rFonts w:asciiTheme="majorHAnsi" w:hAnsiTheme="majorHAnsi"/>
                <w:b/>
                <w:sz w:val="22"/>
                <w:szCs w:val="22"/>
              </w:rPr>
            </w:pPr>
            <w:r w:rsidRPr="0042384C">
              <w:rPr>
                <w:rFonts w:asciiTheme="majorHAnsi" w:hAnsiTheme="majorHAnsi"/>
                <w:b/>
                <w:sz w:val="22"/>
                <w:szCs w:val="22"/>
              </w:rPr>
              <w:t>პორტფელის მართვა (გარდა კოლექტიური პორტფელის მართვისა)</w:t>
            </w:r>
          </w:p>
        </w:tc>
        <w:tc>
          <w:tcPr>
            <w:tcW w:w="3070" w:type="dxa"/>
            <w:tcBorders>
              <w:top w:val="dotted" w:sz="4" w:space="0" w:color="auto"/>
              <w:left w:val="dotted" w:sz="4" w:space="0" w:color="auto"/>
              <w:bottom w:val="dotted" w:sz="4" w:space="0" w:color="auto"/>
              <w:right w:val="double" w:sz="4" w:space="0" w:color="auto"/>
            </w:tcBorders>
            <w:vAlign w:val="center"/>
            <w:hideMark/>
          </w:tcPr>
          <w:p w14:paraId="00D60859" w14:textId="77777777" w:rsidR="00433827" w:rsidRPr="0042384C" w:rsidRDefault="00433827" w:rsidP="00433827">
            <w:pPr>
              <w:jc w:val="center"/>
              <w:rPr>
                <w:rFonts w:asciiTheme="majorHAnsi" w:hAnsiTheme="majorHAnsi"/>
                <w:sz w:val="22"/>
                <w:szCs w:val="22"/>
              </w:rPr>
            </w:pPr>
            <w:r w:rsidRPr="0042384C">
              <w:rPr>
                <w:rFonts w:asciiTheme="majorHAnsi" w:hAnsiTheme="majorHAnsi"/>
                <w:bCs/>
                <w:color w:val="000000"/>
                <w:sz w:val="22"/>
                <w:szCs w:val="22"/>
              </w:rPr>
              <w:t>0</w:t>
            </w:r>
          </w:p>
        </w:tc>
      </w:tr>
      <w:tr w:rsidR="00433827" w:rsidRPr="0042384C" w14:paraId="4776F0FA" w14:textId="77777777" w:rsidTr="002E566C">
        <w:trPr>
          <w:trHeight w:val="277"/>
        </w:trPr>
        <w:tc>
          <w:tcPr>
            <w:tcW w:w="5848" w:type="dxa"/>
            <w:tcBorders>
              <w:top w:val="dotted" w:sz="4" w:space="0" w:color="auto"/>
              <w:left w:val="double" w:sz="4" w:space="0" w:color="auto"/>
              <w:bottom w:val="double" w:sz="4" w:space="0" w:color="auto"/>
              <w:right w:val="dotted" w:sz="4" w:space="0" w:color="auto"/>
            </w:tcBorders>
            <w:vAlign w:val="center"/>
            <w:hideMark/>
          </w:tcPr>
          <w:p w14:paraId="73983321" w14:textId="77777777" w:rsidR="00433827" w:rsidRPr="0042384C" w:rsidRDefault="00433827" w:rsidP="00433827">
            <w:pPr>
              <w:autoSpaceDE w:val="0"/>
              <w:autoSpaceDN w:val="0"/>
              <w:ind w:right="142"/>
              <w:rPr>
                <w:rFonts w:asciiTheme="majorHAnsi" w:hAnsiTheme="majorHAnsi"/>
                <w:b/>
                <w:sz w:val="22"/>
                <w:szCs w:val="22"/>
              </w:rPr>
            </w:pPr>
            <w:r w:rsidRPr="0042384C">
              <w:rPr>
                <w:rFonts w:asciiTheme="majorHAnsi" w:hAnsiTheme="majorHAnsi"/>
                <w:b/>
                <w:sz w:val="22"/>
                <w:szCs w:val="22"/>
              </w:rPr>
              <w:t>ვირტუალური აქტივის სესხად გაცემა</w:t>
            </w:r>
          </w:p>
        </w:tc>
        <w:tc>
          <w:tcPr>
            <w:tcW w:w="3070" w:type="dxa"/>
            <w:tcBorders>
              <w:top w:val="dotted" w:sz="4" w:space="0" w:color="auto"/>
              <w:left w:val="dotted" w:sz="4" w:space="0" w:color="auto"/>
              <w:bottom w:val="double" w:sz="4" w:space="0" w:color="auto"/>
              <w:right w:val="double" w:sz="4" w:space="0" w:color="auto"/>
            </w:tcBorders>
            <w:vAlign w:val="center"/>
            <w:hideMark/>
          </w:tcPr>
          <w:p w14:paraId="30EE77CE" w14:textId="77777777" w:rsidR="00433827" w:rsidRPr="0042384C" w:rsidRDefault="00433827" w:rsidP="00433827">
            <w:pPr>
              <w:jc w:val="center"/>
              <w:rPr>
                <w:rFonts w:asciiTheme="majorHAnsi" w:hAnsiTheme="majorHAnsi"/>
                <w:sz w:val="22"/>
                <w:szCs w:val="22"/>
              </w:rPr>
            </w:pPr>
            <w:r w:rsidRPr="0042384C">
              <w:rPr>
                <w:rFonts w:asciiTheme="majorHAnsi" w:hAnsiTheme="majorHAnsi"/>
                <w:bCs/>
                <w:color w:val="000000"/>
                <w:sz w:val="22"/>
                <w:szCs w:val="22"/>
              </w:rPr>
              <w:t>0</w:t>
            </w:r>
          </w:p>
        </w:tc>
      </w:tr>
    </w:tbl>
    <w:p w14:paraId="642301CD" w14:textId="77777777" w:rsidR="00F5442A" w:rsidRPr="0042384C" w:rsidRDefault="00F5442A" w:rsidP="00F5442A">
      <w:pPr>
        <w:jc w:val="both"/>
        <w:rPr>
          <w:rFonts w:asciiTheme="majorHAnsi" w:hAnsiTheme="majorHAnsi"/>
        </w:rPr>
      </w:pPr>
    </w:p>
    <w:p w14:paraId="1EFF1F3F" w14:textId="77777777" w:rsidR="00952A3E" w:rsidRPr="0042384C" w:rsidRDefault="00952A3E" w:rsidP="002E566C">
      <w:pPr>
        <w:spacing w:line="276" w:lineRule="auto"/>
        <w:jc w:val="both"/>
        <w:rPr>
          <w:rFonts w:asciiTheme="majorHAnsi" w:hAnsiTheme="majorHAnsi"/>
        </w:rPr>
      </w:pPr>
    </w:p>
    <w:p w14:paraId="5F414C2D" w14:textId="50C66DE6" w:rsidR="00EB0602" w:rsidRPr="0042384C" w:rsidRDefault="00F52BF6" w:rsidP="00EB0602">
      <w:pPr>
        <w:spacing w:line="276" w:lineRule="auto"/>
        <w:jc w:val="both"/>
        <w:rPr>
          <w:rFonts w:asciiTheme="majorHAnsi" w:hAnsiTheme="majorHAnsi"/>
        </w:rPr>
      </w:pPr>
      <w:r w:rsidRPr="0042384C">
        <w:rPr>
          <w:rFonts w:asciiTheme="majorHAnsi" w:hAnsiTheme="majorHAnsi"/>
        </w:rPr>
        <w:t xml:space="preserve">როგორც უკვე რეგისტრირებული, ისე რეგისტრაციის მაძიებელი სუბიექტების მიერ შეთავაზებული მომსახურების სახეობები საკმაოდ შეზღუდულია და ძირითადად ვირტუალური აქტივის გადაცვლა/გადაცემით შემოიფარგლება. </w:t>
      </w:r>
      <w:r w:rsidR="009F1AE6" w:rsidRPr="0042384C">
        <w:rPr>
          <w:rFonts w:asciiTheme="majorHAnsi" w:hAnsiTheme="majorHAnsi"/>
        </w:rPr>
        <w:t xml:space="preserve">საქართველოს ეროვნულ ბანკში წარდგენილი სარეგისტრაციო განაცხადების და </w:t>
      </w:r>
      <w:r w:rsidR="001922B9">
        <w:rPr>
          <w:rFonts w:asciiTheme="majorHAnsi" w:hAnsiTheme="majorHAnsi"/>
        </w:rPr>
        <w:t>ბიზნეს</w:t>
      </w:r>
      <w:r w:rsidR="00EB0602" w:rsidRPr="0042384C">
        <w:rPr>
          <w:rFonts w:asciiTheme="majorHAnsi" w:hAnsiTheme="majorHAnsi"/>
        </w:rPr>
        <w:t>გეგმების გათვალისწინებით, ვირტუალური აქტივის მომსახურება შეიძლება შეფასდეს როგორც მზარდი</w:t>
      </w:r>
      <w:r w:rsidR="009F1AE6" w:rsidRPr="0042384C">
        <w:rPr>
          <w:rFonts w:asciiTheme="majorHAnsi" w:hAnsiTheme="majorHAnsi"/>
        </w:rPr>
        <w:t xml:space="preserve"> სექტორი</w:t>
      </w:r>
      <w:r w:rsidR="00EB0602" w:rsidRPr="0042384C">
        <w:rPr>
          <w:rFonts w:asciiTheme="majorHAnsi" w:hAnsiTheme="majorHAnsi"/>
        </w:rPr>
        <w:t xml:space="preserve">. </w:t>
      </w:r>
      <w:r w:rsidR="00FB538F" w:rsidRPr="0042384C">
        <w:rPr>
          <w:rFonts w:asciiTheme="majorHAnsi" w:hAnsiTheme="majorHAnsi"/>
        </w:rPr>
        <w:t xml:space="preserve"> თუმცა,</w:t>
      </w:r>
      <w:r w:rsidR="00EB0602" w:rsidRPr="0042384C">
        <w:rPr>
          <w:rFonts w:asciiTheme="majorHAnsi" w:hAnsiTheme="majorHAnsi"/>
        </w:rPr>
        <w:t xml:space="preserve"> </w:t>
      </w:r>
      <w:r w:rsidR="00C7680C" w:rsidRPr="0042384C">
        <w:rPr>
          <w:rFonts w:asciiTheme="majorHAnsi" w:hAnsiTheme="majorHAnsi"/>
        </w:rPr>
        <w:t xml:space="preserve">ბაზარზე მოქმედი მსხვილი </w:t>
      </w:r>
      <w:r w:rsidR="00EB0602" w:rsidRPr="0042384C">
        <w:rPr>
          <w:rFonts w:asciiTheme="majorHAnsi" w:hAnsiTheme="majorHAnsi"/>
        </w:rPr>
        <w:t>VASP-ების ტრანზაქციების მოცულობამ 2023 წ</w:t>
      </w:r>
      <w:r w:rsidR="00C7680C" w:rsidRPr="0042384C">
        <w:rPr>
          <w:rFonts w:asciiTheme="majorHAnsi" w:hAnsiTheme="majorHAnsi"/>
        </w:rPr>
        <w:t>ელს</w:t>
      </w:r>
      <w:r w:rsidR="00EB0602" w:rsidRPr="0042384C">
        <w:rPr>
          <w:rFonts w:asciiTheme="majorHAnsi" w:hAnsiTheme="majorHAnsi"/>
        </w:rPr>
        <w:t xml:space="preserve"> ჯამურად შეადგინა 1,070,043,486 ლარი, რაც 2022 წელთან შედარებით 57%-ით </w:t>
      </w:r>
      <w:r w:rsidR="00FB538F" w:rsidRPr="0042384C">
        <w:rPr>
          <w:rFonts w:asciiTheme="majorHAnsi" w:hAnsiTheme="majorHAnsi"/>
        </w:rPr>
        <w:t>მცირეა</w:t>
      </w:r>
      <w:r w:rsidR="00EB0602" w:rsidRPr="0042384C">
        <w:rPr>
          <w:rFonts w:asciiTheme="majorHAnsi" w:hAnsiTheme="majorHAnsi"/>
        </w:rPr>
        <w:t xml:space="preserve">. </w:t>
      </w:r>
      <w:r w:rsidR="00FB538F" w:rsidRPr="0042384C">
        <w:rPr>
          <w:rFonts w:asciiTheme="majorHAnsi" w:hAnsiTheme="majorHAnsi"/>
        </w:rPr>
        <w:t>შემცირების</w:t>
      </w:r>
      <w:r w:rsidR="00EB0602" w:rsidRPr="0042384C">
        <w:rPr>
          <w:rFonts w:asciiTheme="majorHAnsi" w:hAnsiTheme="majorHAnsi"/>
        </w:rPr>
        <w:t xml:space="preserve"> ერთ-ერთ</w:t>
      </w:r>
      <w:r w:rsidR="00FB538F" w:rsidRPr="0042384C">
        <w:rPr>
          <w:rFonts w:asciiTheme="majorHAnsi" w:hAnsiTheme="majorHAnsi"/>
        </w:rPr>
        <w:t>ი</w:t>
      </w:r>
      <w:r w:rsidR="00EB0602" w:rsidRPr="0042384C">
        <w:rPr>
          <w:rFonts w:asciiTheme="majorHAnsi" w:hAnsiTheme="majorHAnsi"/>
        </w:rPr>
        <w:t xml:space="preserve"> </w:t>
      </w:r>
      <w:r w:rsidR="00FB538F" w:rsidRPr="0042384C">
        <w:rPr>
          <w:rFonts w:asciiTheme="majorHAnsi" w:hAnsiTheme="majorHAnsi"/>
        </w:rPr>
        <w:t xml:space="preserve">შესაძლო </w:t>
      </w:r>
      <w:r w:rsidR="00EB0602" w:rsidRPr="0042384C">
        <w:rPr>
          <w:rFonts w:asciiTheme="majorHAnsi" w:hAnsiTheme="majorHAnsi"/>
        </w:rPr>
        <w:t>მიზეზ</w:t>
      </w:r>
      <w:r w:rsidR="00FB538F" w:rsidRPr="0042384C">
        <w:rPr>
          <w:rFonts w:asciiTheme="majorHAnsi" w:hAnsiTheme="majorHAnsi"/>
        </w:rPr>
        <w:t>ია</w:t>
      </w:r>
      <w:r w:rsidR="00EB0602" w:rsidRPr="0042384C">
        <w:rPr>
          <w:rFonts w:asciiTheme="majorHAnsi" w:hAnsiTheme="majorHAnsi"/>
        </w:rPr>
        <w:t xml:space="preserve"> 2023 წელს კომერციული ბანკების მიერ ვირტუალურ აქტივთან დაკავშირებულ </w:t>
      </w:r>
      <w:r w:rsidR="00FB538F" w:rsidRPr="0042384C">
        <w:rPr>
          <w:rFonts w:asciiTheme="majorHAnsi" w:hAnsiTheme="majorHAnsi"/>
        </w:rPr>
        <w:t>ტრანზაქციებზე</w:t>
      </w:r>
      <w:r w:rsidR="00EB0602" w:rsidRPr="0042384C">
        <w:rPr>
          <w:rFonts w:asciiTheme="majorHAnsi" w:hAnsiTheme="majorHAnsi"/>
        </w:rPr>
        <w:t xml:space="preserve"> </w:t>
      </w:r>
      <w:r w:rsidR="001C5BB1" w:rsidRPr="0042384C">
        <w:rPr>
          <w:rFonts w:asciiTheme="majorHAnsi" w:hAnsiTheme="majorHAnsi"/>
        </w:rPr>
        <w:t>დაწესებული</w:t>
      </w:r>
      <w:r w:rsidR="00EB0602" w:rsidRPr="0042384C">
        <w:rPr>
          <w:rFonts w:asciiTheme="majorHAnsi" w:hAnsiTheme="majorHAnsi"/>
        </w:rPr>
        <w:t xml:space="preserve"> შეზღუდვები</w:t>
      </w:r>
      <w:r w:rsidR="00C7680C" w:rsidRPr="0042384C">
        <w:rPr>
          <w:rFonts w:asciiTheme="majorHAnsi" w:hAnsiTheme="majorHAnsi"/>
        </w:rPr>
        <w:t xml:space="preserve">, რასაც </w:t>
      </w:r>
      <w:r w:rsidR="001C5BB1" w:rsidRPr="0042384C">
        <w:rPr>
          <w:rFonts w:asciiTheme="majorHAnsi" w:hAnsiTheme="majorHAnsi"/>
        </w:rPr>
        <w:t>მათი</w:t>
      </w:r>
      <w:r w:rsidR="00C7680C" w:rsidRPr="0042384C">
        <w:rPr>
          <w:rFonts w:asciiTheme="majorHAnsi" w:hAnsiTheme="majorHAnsi"/>
        </w:rPr>
        <w:t xml:space="preserve"> შემცირებული რისკ-აპეტიტი განაპირობებდა</w:t>
      </w:r>
      <w:r w:rsidR="00EB0602" w:rsidRPr="0042384C">
        <w:rPr>
          <w:rFonts w:asciiTheme="majorHAnsi" w:hAnsiTheme="majorHAnsi"/>
        </w:rPr>
        <w:t>.</w:t>
      </w:r>
      <w:r w:rsidR="00C7680C" w:rsidRPr="0042384C">
        <w:rPr>
          <w:rFonts w:asciiTheme="majorHAnsi" w:hAnsiTheme="majorHAnsi"/>
        </w:rPr>
        <w:t xml:space="preserve"> ასევე, 2023 წლის მდგომარეობით</w:t>
      </w:r>
      <w:r w:rsidR="001C5BB1" w:rsidRPr="0042384C">
        <w:rPr>
          <w:rFonts w:asciiTheme="majorHAnsi" w:hAnsiTheme="majorHAnsi"/>
        </w:rPr>
        <w:t xml:space="preserve">, </w:t>
      </w:r>
      <w:r w:rsidR="001C5BB1" w:rsidRPr="0042384C">
        <w:rPr>
          <w:rFonts w:asciiTheme="majorHAnsi" w:hAnsiTheme="majorHAnsi"/>
        </w:rPr>
        <w:lastRenderedPageBreak/>
        <w:t>ბაზარზე მოქმედ</w:t>
      </w:r>
      <w:r w:rsidR="00C7680C" w:rsidRPr="0042384C">
        <w:rPr>
          <w:rFonts w:asciiTheme="majorHAnsi" w:hAnsiTheme="majorHAnsi"/>
        </w:rPr>
        <w:t xml:space="preserve"> მსხვილ VASP-ებს </w:t>
      </w:r>
      <w:r w:rsidR="00EB0602" w:rsidRPr="0042384C">
        <w:rPr>
          <w:rFonts w:asciiTheme="majorHAnsi" w:hAnsiTheme="majorHAnsi"/>
        </w:rPr>
        <w:t>ჯამ</w:t>
      </w:r>
      <w:r w:rsidR="001C5BB1" w:rsidRPr="0042384C">
        <w:rPr>
          <w:rFonts w:asciiTheme="majorHAnsi" w:hAnsiTheme="majorHAnsi"/>
        </w:rPr>
        <w:t>ში</w:t>
      </w:r>
      <w:r w:rsidR="00EB0602" w:rsidRPr="0042384C">
        <w:rPr>
          <w:rFonts w:asciiTheme="majorHAnsi" w:hAnsiTheme="majorHAnsi"/>
        </w:rPr>
        <w:t xml:space="preserve"> ჰყავდათ </w:t>
      </w:r>
      <w:r w:rsidR="00C7680C" w:rsidRPr="0042384C">
        <w:rPr>
          <w:rFonts w:asciiTheme="majorHAnsi" w:hAnsiTheme="majorHAnsi"/>
        </w:rPr>
        <w:t xml:space="preserve">დაახლეობით </w:t>
      </w:r>
      <w:r w:rsidR="00EB0602" w:rsidRPr="0042384C">
        <w:rPr>
          <w:rFonts w:asciiTheme="majorHAnsi" w:hAnsiTheme="majorHAnsi"/>
        </w:rPr>
        <w:t>75</w:t>
      </w:r>
      <w:r w:rsidR="00C7680C" w:rsidRPr="0042384C">
        <w:rPr>
          <w:rFonts w:asciiTheme="majorHAnsi" w:hAnsiTheme="majorHAnsi"/>
        </w:rPr>
        <w:t>,</w:t>
      </w:r>
      <w:r w:rsidR="00EB0602" w:rsidRPr="0042384C">
        <w:rPr>
          <w:rFonts w:asciiTheme="majorHAnsi" w:hAnsiTheme="majorHAnsi"/>
        </w:rPr>
        <w:t xml:space="preserve">000 კლიენტი, </w:t>
      </w:r>
      <w:r w:rsidR="00C7680C" w:rsidRPr="0042384C">
        <w:rPr>
          <w:rFonts w:asciiTheme="majorHAnsi" w:hAnsiTheme="majorHAnsi"/>
        </w:rPr>
        <w:t xml:space="preserve">მათ შორის </w:t>
      </w:r>
      <w:r w:rsidR="00EB0602" w:rsidRPr="0042384C">
        <w:rPr>
          <w:rFonts w:asciiTheme="majorHAnsi" w:hAnsiTheme="majorHAnsi"/>
        </w:rPr>
        <w:t xml:space="preserve">95% საქართველოს რეზიდენტი. 2022 წლის მონაცემებთან შედარებით, </w:t>
      </w:r>
      <w:r w:rsidR="00C7680C" w:rsidRPr="0042384C">
        <w:rPr>
          <w:rFonts w:asciiTheme="majorHAnsi" w:hAnsiTheme="majorHAnsi"/>
        </w:rPr>
        <w:t>ეს მაჩვენებელი</w:t>
      </w:r>
      <w:r w:rsidR="00EB0602" w:rsidRPr="0042384C">
        <w:rPr>
          <w:rFonts w:asciiTheme="majorHAnsi" w:hAnsiTheme="majorHAnsi"/>
        </w:rPr>
        <w:t xml:space="preserve"> 13%-</w:t>
      </w:r>
      <w:r w:rsidR="001C5BB1" w:rsidRPr="0042384C">
        <w:rPr>
          <w:rFonts w:asciiTheme="majorHAnsi" w:hAnsiTheme="majorHAnsi"/>
        </w:rPr>
        <w:t>ით არის გაზრდილი</w:t>
      </w:r>
      <w:r w:rsidR="00C7680C" w:rsidRPr="0042384C">
        <w:rPr>
          <w:rFonts w:asciiTheme="majorHAnsi" w:hAnsiTheme="majorHAnsi"/>
        </w:rPr>
        <w:t>.</w:t>
      </w:r>
    </w:p>
    <w:p w14:paraId="2E36F425" w14:textId="3ABD238E" w:rsidR="009C6F47" w:rsidRPr="0042384C" w:rsidRDefault="009C6F47" w:rsidP="002E566C">
      <w:pPr>
        <w:spacing w:line="276" w:lineRule="auto"/>
        <w:jc w:val="center"/>
        <w:rPr>
          <w:rFonts w:asciiTheme="majorHAnsi" w:hAnsiTheme="majorHAnsi" w:cs="Calibri"/>
          <w:color w:val="000000" w:themeColor="text1"/>
        </w:rPr>
      </w:pPr>
      <w:r w:rsidRPr="0042384C">
        <w:rPr>
          <w:rFonts w:asciiTheme="majorHAnsi" w:hAnsiTheme="majorHAnsi"/>
          <w:noProof/>
          <w:lang w:eastAsia="en-US"/>
        </w:rPr>
        <w:drawing>
          <wp:inline distT="0" distB="0" distL="0" distR="0" wp14:anchorId="0509D8A7" wp14:editId="65C93EE1">
            <wp:extent cx="5029200" cy="41148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7143BAD" w14:textId="1609CB34" w:rsidR="00EB0602" w:rsidRPr="0042384C" w:rsidRDefault="00EB0602" w:rsidP="002E566C">
      <w:pPr>
        <w:spacing w:line="276" w:lineRule="auto"/>
        <w:jc w:val="both"/>
        <w:rPr>
          <w:rFonts w:asciiTheme="majorHAnsi" w:hAnsiTheme="majorHAnsi"/>
        </w:rPr>
      </w:pPr>
      <w:r w:rsidRPr="0042384C">
        <w:rPr>
          <w:rFonts w:asciiTheme="majorHAnsi" w:hAnsiTheme="majorHAnsi"/>
        </w:rPr>
        <w:t xml:space="preserve">აღსანიშნავია, რომ 2023 წელს </w:t>
      </w:r>
      <w:r w:rsidR="00C00094" w:rsidRPr="0042384C">
        <w:rPr>
          <w:rFonts w:asciiTheme="majorHAnsi" w:hAnsiTheme="majorHAnsi"/>
        </w:rPr>
        <w:t xml:space="preserve">მსხვილი </w:t>
      </w:r>
      <w:r w:rsidRPr="0042384C">
        <w:rPr>
          <w:rFonts w:asciiTheme="majorHAnsi" w:hAnsiTheme="majorHAnsi"/>
        </w:rPr>
        <w:t xml:space="preserve">VASP-ები კლიენტებისაგან ფულადი სახსრების მიღება/გაცემას ახორციელებდნენ შემდეგი არხების გამოყენებით: </w:t>
      </w:r>
    </w:p>
    <w:p w14:paraId="0E425A2E" w14:textId="77777777" w:rsidR="00EB0602" w:rsidRPr="0042384C" w:rsidRDefault="00EB0602" w:rsidP="00EB0602">
      <w:pPr>
        <w:spacing w:line="276" w:lineRule="auto"/>
        <w:jc w:val="both"/>
        <w:rPr>
          <w:rFonts w:asciiTheme="majorHAnsi" w:hAnsiTheme="majorHAnsi" w:cs="Calibri"/>
          <w:color w:val="000000" w:themeColor="text1"/>
        </w:rPr>
      </w:pPr>
    </w:p>
    <w:p w14:paraId="228A53A1" w14:textId="34809041" w:rsidR="00EB0602" w:rsidRPr="0042384C" w:rsidRDefault="00C00094" w:rsidP="00EB0602">
      <w:pPr>
        <w:pStyle w:val="ListParagraph"/>
        <w:numPr>
          <w:ilvl w:val="0"/>
          <w:numId w:val="13"/>
        </w:numPr>
        <w:spacing w:line="276" w:lineRule="auto"/>
        <w:contextualSpacing w:val="0"/>
        <w:jc w:val="both"/>
        <w:rPr>
          <w:rFonts w:asciiTheme="majorHAnsi" w:hAnsiTheme="majorHAnsi" w:cs="Calibri"/>
          <w:color w:val="000000" w:themeColor="text1"/>
        </w:rPr>
      </w:pPr>
      <w:r w:rsidRPr="0042384C">
        <w:rPr>
          <w:rFonts w:asciiTheme="majorHAnsi" w:hAnsiTheme="majorHAnsi" w:cs="Calibri"/>
          <w:color w:val="000000" w:themeColor="text1"/>
        </w:rPr>
        <w:t>საგადახდო ბარათები.</w:t>
      </w:r>
    </w:p>
    <w:p w14:paraId="2FB714D1" w14:textId="27879292" w:rsidR="00EB0602" w:rsidRPr="0042384C" w:rsidRDefault="00C00094" w:rsidP="00EB0602">
      <w:pPr>
        <w:pStyle w:val="ListParagraph"/>
        <w:numPr>
          <w:ilvl w:val="0"/>
          <w:numId w:val="13"/>
        </w:numPr>
        <w:spacing w:line="276" w:lineRule="auto"/>
        <w:contextualSpacing w:val="0"/>
        <w:jc w:val="both"/>
        <w:rPr>
          <w:rFonts w:asciiTheme="majorHAnsi" w:hAnsiTheme="majorHAnsi" w:cs="Calibri"/>
          <w:color w:val="000000" w:themeColor="text1"/>
        </w:rPr>
      </w:pPr>
      <w:r w:rsidRPr="0042384C">
        <w:rPr>
          <w:rFonts w:asciiTheme="majorHAnsi" w:hAnsiTheme="majorHAnsi" w:cs="Calibri"/>
          <w:color w:val="000000" w:themeColor="text1"/>
        </w:rPr>
        <w:t>საბანკო გადარიცხვები.</w:t>
      </w:r>
    </w:p>
    <w:p w14:paraId="1DA65ACA" w14:textId="3C9CF79B" w:rsidR="00EB0602" w:rsidRPr="0042384C" w:rsidRDefault="00EB0602" w:rsidP="00EB0602">
      <w:pPr>
        <w:pStyle w:val="ListParagraph"/>
        <w:numPr>
          <w:ilvl w:val="0"/>
          <w:numId w:val="13"/>
        </w:numPr>
        <w:spacing w:line="276" w:lineRule="auto"/>
        <w:contextualSpacing w:val="0"/>
        <w:jc w:val="both"/>
        <w:rPr>
          <w:rFonts w:asciiTheme="majorHAnsi" w:hAnsiTheme="majorHAnsi" w:cs="Calibri"/>
          <w:color w:val="000000" w:themeColor="text1"/>
        </w:rPr>
      </w:pPr>
      <w:r w:rsidRPr="0042384C">
        <w:rPr>
          <w:rFonts w:asciiTheme="majorHAnsi" w:hAnsiTheme="majorHAnsi" w:cs="Calibri"/>
          <w:color w:val="000000" w:themeColor="text1"/>
        </w:rPr>
        <w:t>ელექტრონული საფუ</w:t>
      </w:r>
      <w:r w:rsidR="00C00094" w:rsidRPr="0042384C">
        <w:rPr>
          <w:rFonts w:asciiTheme="majorHAnsi" w:hAnsiTheme="majorHAnsi" w:cs="Calibri"/>
          <w:color w:val="000000" w:themeColor="text1"/>
        </w:rPr>
        <w:t>ლეები.</w:t>
      </w:r>
    </w:p>
    <w:p w14:paraId="11F5A817" w14:textId="5442500C" w:rsidR="00EB0602" w:rsidRPr="0042384C" w:rsidRDefault="00EB0602" w:rsidP="00EB0602">
      <w:pPr>
        <w:pStyle w:val="ListParagraph"/>
        <w:numPr>
          <w:ilvl w:val="0"/>
          <w:numId w:val="13"/>
        </w:numPr>
        <w:spacing w:line="276" w:lineRule="auto"/>
        <w:contextualSpacing w:val="0"/>
        <w:jc w:val="both"/>
        <w:rPr>
          <w:rFonts w:asciiTheme="majorHAnsi" w:hAnsiTheme="majorHAnsi" w:cs="Calibri"/>
          <w:color w:val="000000" w:themeColor="text1"/>
        </w:rPr>
      </w:pPr>
      <w:r w:rsidRPr="0042384C">
        <w:rPr>
          <w:rFonts w:asciiTheme="majorHAnsi" w:hAnsiTheme="majorHAnsi" w:cs="Calibri"/>
          <w:color w:val="000000" w:themeColor="text1"/>
        </w:rPr>
        <w:t>თვითმომ</w:t>
      </w:r>
      <w:r w:rsidR="00C00094" w:rsidRPr="0042384C">
        <w:rPr>
          <w:rFonts w:asciiTheme="majorHAnsi" w:hAnsiTheme="majorHAnsi" w:cs="Calibri"/>
          <w:color w:val="000000" w:themeColor="text1"/>
        </w:rPr>
        <w:t>სახურების კიოსკები (ნაღდი ფული).</w:t>
      </w:r>
    </w:p>
    <w:p w14:paraId="183E3062" w14:textId="77777777" w:rsidR="00EB0602" w:rsidRPr="0042384C" w:rsidRDefault="00EB0602" w:rsidP="00EB0602">
      <w:pPr>
        <w:pStyle w:val="ListParagraph"/>
        <w:numPr>
          <w:ilvl w:val="0"/>
          <w:numId w:val="13"/>
        </w:numPr>
        <w:spacing w:line="276" w:lineRule="auto"/>
        <w:contextualSpacing w:val="0"/>
        <w:jc w:val="both"/>
        <w:rPr>
          <w:rFonts w:asciiTheme="majorHAnsi" w:hAnsiTheme="majorHAnsi" w:cs="Calibri"/>
          <w:color w:val="000000" w:themeColor="text1"/>
        </w:rPr>
      </w:pPr>
      <w:r w:rsidRPr="0042384C">
        <w:rPr>
          <w:rFonts w:asciiTheme="majorHAnsi" w:hAnsiTheme="majorHAnsi" w:cs="Calibri"/>
          <w:color w:val="000000" w:themeColor="text1"/>
        </w:rPr>
        <w:t xml:space="preserve">სალარო (ნაღდი ფული). </w:t>
      </w:r>
    </w:p>
    <w:p w14:paraId="24D2D1A8" w14:textId="77777777" w:rsidR="00EB0602" w:rsidRPr="0042384C" w:rsidRDefault="00EB0602" w:rsidP="00EB0602">
      <w:pPr>
        <w:spacing w:line="276" w:lineRule="auto"/>
        <w:jc w:val="both"/>
        <w:rPr>
          <w:rFonts w:asciiTheme="majorHAnsi" w:hAnsiTheme="majorHAnsi" w:cs="Calibri"/>
          <w:color w:val="000000" w:themeColor="text1"/>
        </w:rPr>
      </w:pPr>
    </w:p>
    <w:p w14:paraId="5C482180" w14:textId="5BD14EB5" w:rsidR="00D62691" w:rsidRPr="0042384C" w:rsidRDefault="00C00094" w:rsidP="003F7CDA">
      <w:pPr>
        <w:spacing w:line="276" w:lineRule="auto"/>
        <w:jc w:val="both"/>
        <w:rPr>
          <w:rFonts w:asciiTheme="majorHAnsi" w:hAnsiTheme="majorHAnsi"/>
        </w:rPr>
      </w:pPr>
      <w:r w:rsidRPr="0042384C">
        <w:rPr>
          <w:rFonts w:asciiTheme="majorHAnsi" w:hAnsiTheme="majorHAnsi"/>
        </w:rPr>
        <w:t>მსხვილი</w:t>
      </w:r>
      <w:r w:rsidR="00EB0602" w:rsidRPr="0042384C">
        <w:rPr>
          <w:rFonts w:asciiTheme="majorHAnsi" w:hAnsiTheme="majorHAnsi"/>
        </w:rPr>
        <w:t xml:space="preserve"> VASP-ები</w:t>
      </w:r>
      <w:r w:rsidRPr="0042384C">
        <w:rPr>
          <w:rFonts w:asciiTheme="majorHAnsi" w:hAnsiTheme="majorHAnsi"/>
        </w:rPr>
        <w:t>ს</w:t>
      </w:r>
      <w:r w:rsidR="00EB0602" w:rsidRPr="0042384C">
        <w:rPr>
          <w:rFonts w:asciiTheme="majorHAnsi" w:hAnsiTheme="majorHAnsi"/>
        </w:rPr>
        <w:t xml:space="preserve"> მნიშვნელოვანი ნაწილი ვირტუალური აქტივის მომსახურებას ახორციელებს ნაღდი ფული</w:t>
      </w:r>
      <w:r w:rsidRPr="0042384C">
        <w:rPr>
          <w:rFonts w:asciiTheme="majorHAnsi" w:hAnsiTheme="majorHAnsi"/>
        </w:rPr>
        <w:t>თ</w:t>
      </w:r>
      <w:r w:rsidR="00EB0602" w:rsidRPr="0042384C">
        <w:rPr>
          <w:rFonts w:asciiTheme="majorHAnsi" w:hAnsiTheme="majorHAnsi"/>
        </w:rPr>
        <w:t xml:space="preserve"> (</w:t>
      </w:r>
      <w:r w:rsidRPr="0042384C">
        <w:rPr>
          <w:rFonts w:asciiTheme="majorHAnsi" w:hAnsiTheme="majorHAnsi"/>
        </w:rPr>
        <w:t>მაგ.</w:t>
      </w:r>
      <w:r w:rsidR="001922B9">
        <w:rPr>
          <w:rFonts w:asciiTheme="majorHAnsi" w:hAnsiTheme="majorHAnsi"/>
        </w:rPr>
        <w:t>,</w:t>
      </w:r>
      <w:r w:rsidR="00EB0602" w:rsidRPr="0042384C">
        <w:rPr>
          <w:rFonts w:asciiTheme="majorHAnsi" w:hAnsiTheme="majorHAnsi"/>
        </w:rPr>
        <w:t xml:space="preserve"> თვითმომსახურების კიოსკები), რაც მომატებული რისკების მატარებელია</w:t>
      </w:r>
      <w:r w:rsidRPr="0042384C">
        <w:rPr>
          <w:rFonts w:asciiTheme="majorHAnsi" w:hAnsiTheme="majorHAnsi"/>
        </w:rPr>
        <w:t>. თუმცა,</w:t>
      </w:r>
      <w:r w:rsidR="00EB0602" w:rsidRPr="0042384C">
        <w:rPr>
          <w:rFonts w:asciiTheme="majorHAnsi" w:hAnsiTheme="majorHAnsi"/>
        </w:rPr>
        <w:t xml:space="preserve"> ნაღდი ფულით ანგარიშსწორების </w:t>
      </w:r>
      <w:r w:rsidRPr="0042384C">
        <w:rPr>
          <w:rFonts w:asciiTheme="majorHAnsi" w:hAnsiTheme="majorHAnsi"/>
        </w:rPr>
        <w:t>წილი</w:t>
      </w:r>
      <w:r w:rsidR="00EB0602" w:rsidRPr="0042384C">
        <w:rPr>
          <w:rFonts w:asciiTheme="majorHAnsi" w:hAnsiTheme="majorHAnsi"/>
        </w:rPr>
        <w:t xml:space="preserve"> </w:t>
      </w:r>
      <w:r w:rsidRPr="0042384C">
        <w:rPr>
          <w:rFonts w:asciiTheme="majorHAnsi" w:hAnsiTheme="majorHAnsi"/>
        </w:rPr>
        <w:t>საერთო ბრუნვაში</w:t>
      </w:r>
      <w:r w:rsidR="00EB0602" w:rsidRPr="0042384C">
        <w:rPr>
          <w:rFonts w:asciiTheme="majorHAnsi" w:hAnsiTheme="majorHAnsi"/>
        </w:rPr>
        <w:t xml:space="preserve"> მხოლოდ 12%-ია. </w:t>
      </w:r>
    </w:p>
    <w:p w14:paraId="0C169ED5" w14:textId="6C2CEB0F" w:rsidR="00D62691" w:rsidRPr="0042384C" w:rsidRDefault="00D62691" w:rsidP="003F7CDA">
      <w:pPr>
        <w:ind w:firstLine="360"/>
        <w:jc w:val="both"/>
        <w:rPr>
          <w:rFonts w:asciiTheme="majorHAnsi" w:hAnsiTheme="majorHAnsi" w:cs="Calibri"/>
        </w:rPr>
      </w:pPr>
      <w:r w:rsidRPr="0042384C">
        <w:rPr>
          <w:rFonts w:asciiTheme="majorHAnsi" w:hAnsiTheme="majorHAnsi" w:cs="Calibri"/>
        </w:rPr>
        <w:t>3.3 თანდაყოლილი რისკები</w:t>
      </w:r>
    </w:p>
    <w:p w14:paraId="078BBE87" w14:textId="3C343639" w:rsidR="002269D9" w:rsidRPr="0042384C" w:rsidRDefault="002269D9" w:rsidP="002E566C">
      <w:pPr>
        <w:spacing w:line="276" w:lineRule="auto"/>
        <w:jc w:val="both"/>
        <w:rPr>
          <w:rFonts w:asciiTheme="majorHAnsi" w:hAnsiTheme="majorHAnsi"/>
        </w:rPr>
      </w:pPr>
      <w:r w:rsidRPr="0042384C">
        <w:rPr>
          <w:rFonts w:asciiTheme="majorHAnsi" w:hAnsiTheme="majorHAnsi"/>
        </w:rPr>
        <w:t xml:space="preserve">მიუხედავად იმისა, რომ VASP-ები ექვემდებარება საქართველოს ეროვნული ბანკის რეგულირებასა და ზედამხედველობას, სექტორში არსებული რისკები განიხილება როგორც არსებითი. ამ რისკებს ძირითადად განაპირობებს ვირტუალური აქტივის </w:t>
      </w:r>
      <w:r w:rsidRPr="0042384C">
        <w:rPr>
          <w:rFonts w:asciiTheme="majorHAnsi" w:hAnsiTheme="majorHAnsi"/>
        </w:rPr>
        <w:lastRenderedPageBreak/>
        <w:t>ბუნება და მახასიათებლებით, მათ შორის, ბლოკჩეინ ტექნოლოგიის საე</w:t>
      </w:r>
      <w:r w:rsidR="001922B9">
        <w:rPr>
          <w:rFonts w:asciiTheme="majorHAnsi" w:hAnsiTheme="majorHAnsi"/>
        </w:rPr>
        <w:t>რთაშორისო განზომილება და ფსევდო</w:t>
      </w:r>
      <w:r w:rsidRPr="0042384C">
        <w:rPr>
          <w:rFonts w:asciiTheme="majorHAnsi" w:hAnsiTheme="majorHAnsi"/>
        </w:rPr>
        <w:t xml:space="preserve">ანონიმურობა, ოპერაციების განხორციელების სისწრაფე და დეცენტრალიზებული ხასიათი. </w:t>
      </w:r>
    </w:p>
    <w:p w14:paraId="23A5BF35" w14:textId="3A10EBD8" w:rsidR="00E66E23" w:rsidRPr="0042384C" w:rsidRDefault="002269D9" w:rsidP="002E566C">
      <w:pPr>
        <w:spacing w:line="276" w:lineRule="auto"/>
        <w:jc w:val="both"/>
        <w:rPr>
          <w:rFonts w:asciiTheme="majorHAnsi" w:hAnsiTheme="majorHAnsi"/>
        </w:rPr>
      </w:pPr>
      <w:r w:rsidRPr="0042384C">
        <w:rPr>
          <w:rFonts w:asciiTheme="majorHAnsi" w:hAnsiTheme="majorHAnsi"/>
        </w:rPr>
        <w:t>VASP-ების სექტორის მოწყვლადობას ასევე განაპირობებს საერთაშორისო დონეზე რეგულირების ერთგვაროვანი სტანდარტების ნაკლებობა, მათ შორის, ე.წ. Travel Rule-ის</w:t>
      </w:r>
      <w:r w:rsidRPr="0042384C">
        <w:rPr>
          <w:rFonts w:asciiTheme="majorHAnsi" w:hAnsiTheme="majorHAnsi"/>
          <w:vertAlign w:val="superscript"/>
        </w:rPr>
        <w:footnoteReference w:id="9"/>
      </w:r>
      <w:r w:rsidRPr="0042384C">
        <w:rPr>
          <w:rFonts w:asciiTheme="majorHAnsi" w:hAnsiTheme="majorHAnsi"/>
        </w:rPr>
        <w:t xml:space="preserve"> დანერგვისთვის საჭირო ტექნოლოგიის არარსებობა, რომელიც უზრუნველყოფს ვირტუალური აქტივი</w:t>
      </w:r>
      <w:r w:rsidR="00E66E23" w:rsidRPr="0042384C">
        <w:rPr>
          <w:rFonts w:asciiTheme="majorHAnsi" w:hAnsiTheme="majorHAnsi"/>
        </w:rPr>
        <w:t>ს</w:t>
      </w:r>
      <w:r w:rsidRPr="0042384C">
        <w:rPr>
          <w:rFonts w:asciiTheme="majorHAnsi" w:hAnsiTheme="majorHAnsi"/>
        </w:rPr>
        <w:t xml:space="preserve"> ოპ</w:t>
      </w:r>
      <w:r w:rsidR="002E566C" w:rsidRPr="0042384C">
        <w:rPr>
          <w:rFonts w:asciiTheme="majorHAnsi" w:hAnsiTheme="majorHAnsi"/>
        </w:rPr>
        <w:t>ე</w:t>
      </w:r>
      <w:r w:rsidRPr="0042384C">
        <w:rPr>
          <w:rFonts w:asciiTheme="majorHAnsi" w:hAnsiTheme="majorHAnsi"/>
        </w:rPr>
        <w:t>რაციების მხარეებზე ინფორმაციის ხელმისაწვდომობას.</w:t>
      </w:r>
      <w:r w:rsidR="00E66E23" w:rsidRPr="0042384C">
        <w:rPr>
          <w:rFonts w:asciiTheme="majorHAnsi" w:hAnsiTheme="majorHAnsi"/>
        </w:rPr>
        <w:t xml:space="preserve"> </w:t>
      </w:r>
      <w:r w:rsidR="00DE087E" w:rsidRPr="0042384C">
        <w:rPr>
          <w:rFonts w:asciiTheme="majorHAnsi" w:hAnsiTheme="majorHAnsi"/>
        </w:rPr>
        <w:t>დამატებით</w:t>
      </w:r>
      <w:r w:rsidR="001922B9">
        <w:rPr>
          <w:rFonts w:asciiTheme="majorHAnsi" w:hAnsiTheme="majorHAnsi"/>
        </w:rPr>
        <w:t>,</w:t>
      </w:r>
      <w:r w:rsidRPr="0042384C">
        <w:rPr>
          <w:rFonts w:asciiTheme="majorHAnsi" w:hAnsiTheme="majorHAnsi"/>
        </w:rPr>
        <w:t xml:space="preserve"> </w:t>
      </w:r>
      <w:r w:rsidR="00E66E23" w:rsidRPr="0042384C">
        <w:rPr>
          <w:rFonts w:asciiTheme="majorHAnsi" w:hAnsiTheme="majorHAnsi"/>
        </w:rPr>
        <w:t>აღსანიშნავია</w:t>
      </w:r>
      <w:r w:rsidRPr="0042384C">
        <w:rPr>
          <w:rFonts w:asciiTheme="majorHAnsi" w:hAnsiTheme="majorHAnsi"/>
        </w:rPr>
        <w:t xml:space="preserve"> ვირტუალური აქტივის</w:t>
      </w:r>
      <w:r w:rsidR="00E66E23" w:rsidRPr="0042384C">
        <w:rPr>
          <w:rFonts w:asciiTheme="majorHAnsi" w:hAnsiTheme="majorHAnsi"/>
        </w:rPr>
        <w:t xml:space="preserve"> მომსახურების</w:t>
      </w:r>
      <w:r w:rsidRPr="0042384C">
        <w:rPr>
          <w:rFonts w:asciiTheme="majorHAnsi" w:hAnsiTheme="majorHAnsi"/>
        </w:rPr>
        <w:t xml:space="preserve"> </w:t>
      </w:r>
      <w:r w:rsidR="00E66E23" w:rsidRPr="0042384C">
        <w:rPr>
          <w:rFonts w:asciiTheme="majorHAnsi" w:hAnsiTheme="majorHAnsi"/>
        </w:rPr>
        <w:t>სფეროში</w:t>
      </w:r>
      <w:r w:rsidRPr="0042384C">
        <w:rPr>
          <w:rFonts w:asciiTheme="majorHAnsi" w:hAnsiTheme="majorHAnsi"/>
        </w:rPr>
        <w:t xml:space="preserve"> მუდმივი </w:t>
      </w:r>
      <w:r w:rsidR="00E66E23" w:rsidRPr="0042384C">
        <w:rPr>
          <w:rFonts w:asciiTheme="majorHAnsi" w:hAnsiTheme="majorHAnsi"/>
        </w:rPr>
        <w:t>სიახლეები</w:t>
      </w:r>
      <w:r w:rsidRPr="0042384C">
        <w:rPr>
          <w:rFonts w:asciiTheme="majorHAnsi" w:hAnsiTheme="majorHAnsi"/>
        </w:rPr>
        <w:t xml:space="preserve">, </w:t>
      </w:r>
      <w:r w:rsidR="00E66E23" w:rsidRPr="0042384C">
        <w:rPr>
          <w:rFonts w:asciiTheme="majorHAnsi" w:hAnsiTheme="majorHAnsi"/>
        </w:rPr>
        <w:t>მათ შორის</w:t>
      </w:r>
      <w:r w:rsidR="00952A3E" w:rsidRPr="0042384C">
        <w:rPr>
          <w:rFonts w:asciiTheme="majorHAnsi" w:hAnsiTheme="majorHAnsi"/>
        </w:rPr>
        <w:t>,</w:t>
      </w:r>
      <w:r w:rsidR="00E66E23" w:rsidRPr="0042384C">
        <w:rPr>
          <w:rFonts w:asciiTheme="majorHAnsi" w:hAnsiTheme="majorHAnsi"/>
        </w:rPr>
        <w:t xml:space="preserve"> </w:t>
      </w:r>
      <w:r w:rsidRPr="0042384C">
        <w:rPr>
          <w:rFonts w:asciiTheme="majorHAnsi" w:hAnsiTheme="majorHAnsi"/>
        </w:rPr>
        <w:t>ინოვაციური პროდუქტების</w:t>
      </w:r>
      <w:r w:rsidR="00952A3E" w:rsidRPr="0042384C">
        <w:rPr>
          <w:rFonts w:asciiTheme="majorHAnsi" w:hAnsiTheme="majorHAnsi"/>
        </w:rPr>
        <w:t>ა</w:t>
      </w:r>
      <w:r w:rsidRPr="0042384C">
        <w:rPr>
          <w:rFonts w:asciiTheme="majorHAnsi" w:hAnsiTheme="majorHAnsi"/>
        </w:rPr>
        <w:t xml:space="preserve"> და მიწოდების არხების, ახალი ტექნოლოგიების დანერგვა, რომლებიც ხელს უწყობს ანონიმურობას და აფერხებს </w:t>
      </w:r>
      <w:r w:rsidR="00DE087E" w:rsidRPr="0042384C">
        <w:rPr>
          <w:rFonts w:asciiTheme="majorHAnsi" w:hAnsiTheme="majorHAnsi"/>
        </w:rPr>
        <w:t xml:space="preserve">ოპერაციების მონაწილე მხარეების </w:t>
      </w:r>
      <w:r w:rsidRPr="0042384C">
        <w:rPr>
          <w:rFonts w:asciiTheme="majorHAnsi" w:hAnsiTheme="majorHAnsi"/>
        </w:rPr>
        <w:t>მიკვლევადობას.</w:t>
      </w:r>
    </w:p>
    <w:p w14:paraId="485B594C" w14:textId="4155658F" w:rsidR="00E66E23" w:rsidRPr="0042384C" w:rsidRDefault="00952A3E" w:rsidP="00E66E23">
      <w:pPr>
        <w:spacing w:line="276" w:lineRule="auto"/>
        <w:jc w:val="both"/>
        <w:rPr>
          <w:rFonts w:asciiTheme="majorHAnsi" w:hAnsiTheme="majorHAnsi"/>
        </w:rPr>
      </w:pPr>
      <w:r w:rsidRPr="0042384C">
        <w:rPr>
          <w:rFonts w:asciiTheme="majorHAnsi" w:hAnsiTheme="majorHAnsi"/>
        </w:rPr>
        <w:t>გარდა ამისა, მნიშვნელოვანი ფაქტორია ე.წ. „</w:t>
      </w:r>
      <w:r w:rsidR="00E66E23" w:rsidRPr="0042384C">
        <w:rPr>
          <w:rFonts w:asciiTheme="majorHAnsi" w:hAnsiTheme="majorHAnsi"/>
        </w:rPr>
        <w:t xml:space="preserve">Unhosted“ მისამართები, რომლებიც ვირტუალური აქტივის შენახვის საშუალებას იძლევა </w:t>
      </w:r>
      <w:r w:rsidR="00DE087E" w:rsidRPr="0042384C">
        <w:rPr>
          <w:rFonts w:asciiTheme="majorHAnsi" w:hAnsiTheme="majorHAnsi"/>
        </w:rPr>
        <w:t xml:space="preserve">ბლოკჩეინზე </w:t>
      </w:r>
      <w:r w:rsidR="00E66E23" w:rsidRPr="0042384C">
        <w:rPr>
          <w:rFonts w:asciiTheme="majorHAnsi" w:hAnsiTheme="majorHAnsi"/>
        </w:rPr>
        <w:t xml:space="preserve">რეგულირებადი ან/და ცენტრალიზებული პლატფორმის მიღმა. ეს გარემოება ართულებს ოპერაციის მონაწილე მხარეების იდენტიფიცირებას და საზედამხედველო ღონისძიებების და საგამოძიებო მოქმედებების ჩატარებას. </w:t>
      </w:r>
    </w:p>
    <w:p w14:paraId="50FEA8EA" w14:textId="192D93ED" w:rsidR="007E2B0E" w:rsidRPr="0042384C" w:rsidRDefault="007E2B0E" w:rsidP="007E2B0E">
      <w:pPr>
        <w:spacing w:line="276" w:lineRule="auto"/>
        <w:jc w:val="both"/>
        <w:rPr>
          <w:rFonts w:asciiTheme="majorHAnsi" w:hAnsiTheme="majorHAnsi"/>
        </w:rPr>
      </w:pPr>
      <w:r w:rsidRPr="0042384C">
        <w:rPr>
          <w:rFonts w:asciiTheme="majorHAnsi" w:hAnsiTheme="majorHAnsi"/>
        </w:rPr>
        <w:t>FATF-ის</w:t>
      </w:r>
      <w:r w:rsidRPr="0042384C">
        <w:rPr>
          <w:rFonts w:asciiTheme="majorHAnsi" w:hAnsiTheme="majorHAnsi"/>
          <w:vertAlign w:val="superscript"/>
        </w:rPr>
        <w:footnoteReference w:id="10"/>
      </w:r>
      <w:r w:rsidRPr="0042384C">
        <w:rPr>
          <w:rFonts w:asciiTheme="majorHAnsi" w:hAnsiTheme="majorHAnsi"/>
        </w:rPr>
        <w:t xml:space="preserve"> მიხედვით, დეცენტრალიზებული ფინანსების მომსახურება (შემდგომ </w:t>
      </w:r>
      <w:r w:rsidR="001922B9">
        <w:rPr>
          <w:rFonts w:asciiTheme="majorHAnsi" w:hAnsiTheme="majorHAnsi" w:cs="Calibri"/>
        </w:rPr>
        <w:t>−</w:t>
      </w:r>
      <w:r w:rsidRPr="0042384C">
        <w:rPr>
          <w:rFonts w:asciiTheme="majorHAnsi" w:hAnsiTheme="majorHAnsi"/>
        </w:rPr>
        <w:t xml:space="preserve"> „DeFi“) მზარდია და მომატებულ რისკებს განაპირობებს. კერძოდ, DeFi იყენებს ჭკვიან კონტრაქტებს (ე.წ. </w:t>
      </w:r>
      <w:r w:rsidR="001922B9">
        <w:rPr>
          <w:rFonts w:asciiTheme="majorHAnsi" w:hAnsiTheme="majorHAnsi"/>
        </w:rPr>
        <w:t>„</w:t>
      </w:r>
      <w:r w:rsidRPr="0042384C">
        <w:rPr>
          <w:rFonts w:asciiTheme="majorHAnsi" w:hAnsiTheme="majorHAnsi"/>
        </w:rPr>
        <w:t>smart contract“) და ტრადიციული ფინანსური მომსახურებისგან განსხვავებით, მომხმარებელს საშუალება აქვს მიიღოს მომსახურებები, მათ შორის, ვირტუალური აქტივის გადაცვლა („decentralized exchange“) ე.წ. Peer-to-Peer (P2P) მეთოდით. ვინაიდან ასეთი ოპერაციები სრულდება არა რომელიმე რეგულირებადი შუამავლის მეშვეობით, არამედ „smart contract“-</w:t>
      </w:r>
      <w:r w:rsidR="00DE087E" w:rsidRPr="0042384C">
        <w:rPr>
          <w:rFonts w:asciiTheme="majorHAnsi" w:hAnsiTheme="majorHAnsi"/>
        </w:rPr>
        <w:t>ებ</w:t>
      </w:r>
      <w:r w:rsidR="002E566C" w:rsidRPr="0042384C">
        <w:rPr>
          <w:rFonts w:asciiTheme="majorHAnsi" w:hAnsiTheme="majorHAnsi"/>
        </w:rPr>
        <w:t>ი</w:t>
      </w:r>
      <w:r w:rsidRPr="0042384C">
        <w:rPr>
          <w:rFonts w:asciiTheme="majorHAnsi" w:hAnsiTheme="majorHAnsi"/>
        </w:rPr>
        <w:t xml:space="preserve">თ, რთულდება ვირტუალური აქტივის </w:t>
      </w:r>
      <w:r w:rsidR="00DE087E" w:rsidRPr="0042384C">
        <w:rPr>
          <w:rFonts w:asciiTheme="majorHAnsi" w:hAnsiTheme="majorHAnsi"/>
        </w:rPr>
        <w:t>ოპერაციაში</w:t>
      </w:r>
      <w:r w:rsidRPr="0042384C">
        <w:rPr>
          <w:rFonts w:asciiTheme="majorHAnsi" w:hAnsiTheme="majorHAnsi"/>
        </w:rPr>
        <w:t xml:space="preserve"> მონაწილე პირების მიკვლევადობა.</w:t>
      </w:r>
    </w:p>
    <w:p w14:paraId="736B84DA" w14:textId="0FF50CDC" w:rsidR="003E12B2" w:rsidRPr="0042384C" w:rsidRDefault="00981F27" w:rsidP="003F7CDA">
      <w:pPr>
        <w:spacing w:line="276" w:lineRule="auto"/>
        <w:jc w:val="both"/>
        <w:rPr>
          <w:rFonts w:asciiTheme="majorHAnsi" w:hAnsiTheme="majorHAnsi"/>
        </w:rPr>
      </w:pPr>
      <w:r w:rsidRPr="0042384C">
        <w:rPr>
          <w:rFonts w:asciiTheme="majorHAnsi" w:hAnsiTheme="majorHAnsi"/>
        </w:rPr>
        <w:t xml:space="preserve">როგორც ზემოთ ითქვა, </w:t>
      </w:r>
      <w:r w:rsidR="00E66E23" w:rsidRPr="0042384C">
        <w:rPr>
          <w:rFonts w:asciiTheme="majorHAnsi" w:hAnsiTheme="majorHAnsi"/>
        </w:rPr>
        <w:t xml:space="preserve">საქართველოში </w:t>
      </w:r>
      <w:r w:rsidRPr="0042384C">
        <w:rPr>
          <w:rFonts w:asciiTheme="majorHAnsi" w:hAnsiTheme="majorHAnsi"/>
        </w:rPr>
        <w:t>მოქმედი მსხვილი</w:t>
      </w:r>
      <w:r w:rsidR="00E66E23" w:rsidRPr="0042384C">
        <w:rPr>
          <w:rFonts w:asciiTheme="majorHAnsi" w:hAnsiTheme="majorHAnsi"/>
        </w:rPr>
        <w:t xml:space="preserve"> VASP-ების ძირითადი საქმიანობა </w:t>
      </w:r>
      <w:r w:rsidRPr="0042384C">
        <w:rPr>
          <w:rFonts w:asciiTheme="majorHAnsi" w:hAnsiTheme="majorHAnsi"/>
        </w:rPr>
        <w:t>უკავშირდება</w:t>
      </w:r>
      <w:r w:rsidR="00E66E23" w:rsidRPr="0042384C">
        <w:rPr>
          <w:rFonts w:asciiTheme="majorHAnsi" w:hAnsiTheme="majorHAnsi"/>
        </w:rPr>
        <w:t xml:space="preserve"> ვირტუალური აქტივის გადაცვლა</w:t>
      </w:r>
      <w:r w:rsidRPr="0042384C">
        <w:rPr>
          <w:rFonts w:asciiTheme="majorHAnsi" w:hAnsiTheme="majorHAnsi"/>
        </w:rPr>
        <w:t>ს</w:t>
      </w:r>
      <w:r w:rsidR="00E66E23" w:rsidRPr="0042384C">
        <w:rPr>
          <w:rFonts w:asciiTheme="majorHAnsi" w:hAnsiTheme="majorHAnsi"/>
        </w:rPr>
        <w:t xml:space="preserve"> ეროვნულ ან უცხოურ ვალუტაში. მიუხედავად იმისა, რომ ნაღდი ფულის გამოყენების წილი ფულადი სახსრების გამოყენების საერთო </w:t>
      </w:r>
      <w:r w:rsidR="00266650" w:rsidRPr="0042384C">
        <w:rPr>
          <w:rFonts w:asciiTheme="majorHAnsi" w:hAnsiTheme="majorHAnsi"/>
        </w:rPr>
        <w:t>მოცულობაში</w:t>
      </w:r>
      <w:r w:rsidR="00E66E23" w:rsidRPr="0042384C">
        <w:rPr>
          <w:rFonts w:asciiTheme="majorHAnsi" w:hAnsiTheme="majorHAnsi"/>
        </w:rPr>
        <w:t xml:space="preserve"> მცირეა (12%), ნაღდი ფული</w:t>
      </w:r>
      <w:r w:rsidR="00266650" w:rsidRPr="0042384C">
        <w:rPr>
          <w:rFonts w:asciiTheme="majorHAnsi" w:hAnsiTheme="majorHAnsi"/>
        </w:rPr>
        <w:t>თ ოპერაციების შესრულებაზე</w:t>
      </w:r>
      <w:r w:rsidR="00E66E23" w:rsidRPr="0042384C">
        <w:rPr>
          <w:rFonts w:asciiTheme="majorHAnsi" w:hAnsiTheme="majorHAnsi"/>
        </w:rPr>
        <w:t xml:space="preserve"> მოთხოვნა მზარდია</w:t>
      </w:r>
      <w:r w:rsidRPr="0042384C">
        <w:rPr>
          <w:rFonts w:asciiTheme="majorHAnsi" w:hAnsiTheme="majorHAnsi"/>
        </w:rPr>
        <w:t xml:space="preserve">. </w:t>
      </w:r>
      <w:r w:rsidR="00266650" w:rsidRPr="0042384C">
        <w:rPr>
          <w:rFonts w:asciiTheme="majorHAnsi" w:hAnsiTheme="majorHAnsi"/>
        </w:rPr>
        <w:t>ამას ადასტურებს,</w:t>
      </w:r>
      <w:r w:rsidR="00E66E23" w:rsidRPr="0042384C">
        <w:rPr>
          <w:rFonts w:asciiTheme="majorHAnsi" w:hAnsiTheme="majorHAnsi"/>
        </w:rPr>
        <w:t xml:space="preserve"> </w:t>
      </w:r>
      <w:r w:rsidR="00266650" w:rsidRPr="0042384C">
        <w:rPr>
          <w:rFonts w:asciiTheme="majorHAnsi" w:hAnsiTheme="majorHAnsi"/>
        </w:rPr>
        <w:t xml:space="preserve">ბაზარზე მოქმედი </w:t>
      </w:r>
      <w:r w:rsidR="001F1971" w:rsidRPr="0042384C">
        <w:rPr>
          <w:rFonts w:asciiTheme="majorHAnsi" w:hAnsiTheme="majorHAnsi"/>
        </w:rPr>
        <w:t xml:space="preserve">იმ </w:t>
      </w:r>
      <w:r w:rsidR="00266650" w:rsidRPr="0042384C">
        <w:rPr>
          <w:rFonts w:asciiTheme="majorHAnsi" w:hAnsiTheme="majorHAnsi"/>
        </w:rPr>
        <w:t>კომპანი</w:t>
      </w:r>
      <w:r w:rsidR="001F1971" w:rsidRPr="0042384C">
        <w:rPr>
          <w:rFonts w:asciiTheme="majorHAnsi" w:hAnsiTheme="majorHAnsi"/>
        </w:rPr>
        <w:t>ებ</w:t>
      </w:r>
      <w:r w:rsidR="00266650" w:rsidRPr="0042384C">
        <w:rPr>
          <w:rFonts w:asciiTheme="majorHAnsi" w:hAnsiTheme="majorHAnsi"/>
        </w:rPr>
        <w:t xml:space="preserve">ის მონაცემების ანალიზი, რომლებიც მომსახურებას ახორციელებენ </w:t>
      </w:r>
      <w:r w:rsidR="00E66E23" w:rsidRPr="0042384C">
        <w:rPr>
          <w:rFonts w:asciiTheme="majorHAnsi" w:hAnsiTheme="majorHAnsi"/>
        </w:rPr>
        <w:t>თვითმომსახურების კიოსკ</w:t>
      </w:r>
      <w:r w:rsidR="00266650" w:rsidRPr="0042384C">
        <w:rPr>
          <w:rFonts w:asciiTheme="majorHAnsi" w:hAnsiTheme="majorHAnsi"/>
        </w:rPr>
        <w:t>ებ</w:t>
      </w:r>
      <w:r w:rsidR="00E66E23" w:rsidRPr="0042384C">
        <w:rPr>
          <w:rFonts w:asciiTheme="majorHAnsi" w:hAnsiTheme="majorHAnsi"/>
        </w:rPr>
        <w:t>ი</w:t>
      </w:r>
      <w:r w:rsidR="001F1971" w:rsidRPr="0042384C">
        <w:rPr>
          <w:rFonts w:asciiTheme="majorHAnsi" w:hAnsiTheme="majorHAnsi"/>
        </w:rPr>
        <w:t>თ</w:t>
      </w:r>
      <w:r w:rsidR="00266650" w:rsidRPr="0042384C">
        <w:rPr>
          <w:rFonts w:asciiTheme="majorHAnsi" w:hAnsiTheme="majorHAnsi"/>
        </w:rPr>
        <w:t>. კერძოდ,</w:t>
      </w:r>
      <w:r w:rsidR="00E66E23" w:rsidRPr="0042384C">
        <w:rPr>
          <w:rFonts w:asciiTheme="majorHAnsi" w:hAnsiTheme="majorHAnsi"/>
        </w:rPr>
        <w:t xml:space="preserve"> </w:t>
      </w:r>
      <w:r w:rsidR="00266650" w:rsidRPr="0042384C">
        <w:rPr>
          <w:rFonts w:asciiTheme="majorHAnsi" w:hAnsiTheme="majorHAnsi"/>
        </w:rPr>
        <w:t>თვითმომსახურების კიოსკები</w:t>
      </w:r>
      <w:r w:rsidR="00DE087E" w:rsidRPr="0042384C">
        <w:rPr>
          <w:rFonts w:asciiTheme="majorHAnsi" w:hAnsiTheme="majorHAnsi"/>
        </w:rPr>
        <w:t>ს მეშვეობით</w:t>
      </w:r>
      <w:r w:rsidR="00E66E23" w:rsidRPr="0042384C">
        <w:rPr>
          <w:rFonts w:asciiTheme="majorHAnsi" w:hAnsiTheme="majorHAnsi"/>
        </w:rPr>
        <w:t xml:space="preserve"> </w:t>
      </w:r>
      <w:r w:rsidR="00DE087E" w:rsidRPr="0042384C">
        <w:rPr>
          <w:rFonts w:asciiTheme="majorHAnsi" w:hAnsiTheme="majorHAnsi"/>
        </w:rPr>
        <w:t xml:space="preserve">2023 წელს </w:t>
      </w:r>
      <w:r w:rsidR="00E66E23" w:rsidRPr="0042384C">
        <w:rPr>
          <w:rFonts w:asciiTheme="majorHAnsi" w:hAnsiTheme="majorHAnsi"/>
        </w:rPr>
        <w:t>ნაღდი ფული</w:t>
      </w:r>
      <w:r w:rsidR="00266650" w:rsidRPr="0042384C">
        <w:rPr>
          <w:rFonts w:asciiTheme="majorHAnsi" w:hAnsiTheme="majorHAnsi"/>
        </w:rPr>
        <w:t>თ შესრულებული</w:t>
      </w:r>
      <w:r w:rsidR="00E66E23" w:rsidRPr="0042384C">
        <w:rPr>
          <w:rFonts w:asciiTheme="majorHAnsi" w:hAnsiTheme="majorHAnsi"/>
        </w:rPr>
        <w:t xml:space="preserve"> </w:t>
      </w:r>
      <w:r w:rsidR="00266650" w:rsidRPr="0042384C">
        <w:rPr>
          <w:rFonts w:asciiTheme="majorHAnsi" w:hAnsiTheme="majorHAnsi"/>
        </w:rPr>
        <w:t>ოპერაციების</w:t>
      </w:r>
      <w:r w:rsidR="00E66E23" w:rsidRPr="0042384C">
        <w:rPr>
          <w:rFonts w:asciiTheme="majorHAnsi" w:hAnsiTheme="majorHAnsi"/>
        </w:rPr>
        <w:t xml:space="preserve"> </w:t>
      </w:r>
      <w:r w:rsidR="00E66E23" w:rsidRPr="0042384C">
        <w:rPr>
          <w:rFonts w:asciiTheme="majorHAnsi" w:hAnsiTheme="majorHAnsi"/>
        </w:rPr>
        <w:lastRenderedPageBreak/>
        <w:t>მოცულობა 2022 წელთან შედარებით 28%-ით გაიზარდა, რაც მომატებულ რისკებ</w:t>
      </w:r>
      <w:r w:rsidR="00DE087E" w:rsidRPr="0042384C">
        <w:rPr>
          <w:rFonts w:asciiTheme="majorHAnsi" w:hAnsiTheme="majorHAnsi"/>
        </w:rPr>
        <w:t>ზე</w:t>
      </w:r>
      <w:r w:rsidR="00E66E23" w:rsidRPr="0042384C">
        <w:rPr>
          <w:rFonts w:asciiTheme="majorHAnsi" w:hAnsiTheme="majorHAnsi"/>
        </w:rPr>
        <w:t xml:space="preserve"> </w:t>
      </w:r>
      <w:r w:rsidR="00DE087E" w:rsidRPr="0042384C">
        <w:rPr>
          <w:rFonts w:asciiTheme="majorHAnsi" w:hAnsiTheme="majorHAnsi"/>
        </w:rPr>
        <w:t>მიანიშნებს</w:t>
      </w:r>
      <w:r w:rsidR="00E66E23" w:rsidRPr="0042384C">
        <w:rPr>
          <w:rFonts w:asciiTheme="majorHAnsi" w:hAnsiTheme="majorHAnsi"/>
        </w:rPr>
        <w:t xml:space="preserve">. </w:t>
      </w:r>
    </w:p>
    <w:p w14:paraId="3419D715" w14:textId="336C2381" w:rsidR="00E66E23" w:rsidRPr="0042384C" w:rsidRDefault="00D2327B" w:rsidP="003F7CDA">
      <w:pPr>
        <w:ind w:firstLine="360"/>
        <w:jc w:val="both"/>
        <w:rPr>
          <w:rFonts w:asciiTheme="majorHAnsi" w:hAnsiTheme="majorHAnsi" w:cs="Calibri"/>
        </w:rPr>
      </w:pPr>
      <w:r w:rsidRPr="0042384C">
        <w:rPr>
          <w:rFonts w:asciiTheme="majorHAnsi" w:hAnsiTheme="majorHAnsi" w:cs="Calibri"/>
        </w:rPr>
        <w:t xml:space="preserve">3.4 </w:t>
      </w:r>
      <w:r w:rsidR="00DE087E" w:rsidRPr="0042384C">
        <w:rPr>
          <w:rFonts w:asciiTheme="majorHAnsi" w:hAnsiTheme="majorHAnsi" w:cs="Calibri"/>
        </w:rPr>
        <w:t>რისკების შემცირება</w:t>
      </w:r>
    </w:p>
    <w:p w14:paraId="2C54BA22" w14:textId="3F5ECE30" w:rsidR="00D2327B" w:rsidRPr="0042384C" w:rsidRDefault="00D2327B" w:rsidP="003F7CDA">
      <w:pPr>
        <w:spacing w:line="276" w:lineRule="auto"/>
        <w:jc w:val="both"/>
        <w:rPr>
          <w:rFonts w:asciiTheme="majorHAnsi" w:hAnsiTheme="majorHAnsi"/>
        </w:rPr>
      </w:pPr>
      <w:r w:rsidRPr="0042384C">
        <w:rPr>
          <w:rFonts w:asciiTheme="majorHAnsi" w:hAnsiTheme="majorHAnsi"/>
          <w:i/>
        </w:rPr>
        <w:t>კონფიდენციალური მონეტა</w:t>
      </w:r>
      <w:r w:rsidRPr="0042384C">
        <w:rPr>
          <w:rFonts w:asciiTheme="majorHAnsi" w:hAnsiTheme="majorHAnsi"/>
        </w:rPr>
        <w:t xml:space="preserve"> (Privacy Coin) </w:t>
      </w:r>
      <w:r w:rsidR="001922B9">
        <w:rPr>
          <w:rFonts w:asciiTheme="majorHAnsi" w:hAnsiTheme="majorHAnsi" w:cs="Calibri"/>
        </w:rPr>
        <w:t>−</w:t>
      </w:r>
      <w:r w:rsidRPr="0042384C">
        <w:rPr>
          <w:rFonts w:asciiTheme="majorHAnsi" w:hAnsiTheme="majorHAnsi"/>
        </w:rPr>
        <w:t xml:space="preserve"> ვირტუალური აქტივი, რომლის ტექნოლოგიური დიზაინი ხელს უშლის ამ ვირტუალური აქტივით განხორციელებულ ტრანზაქციაში მონაწილე მხარეების შესახებ ინფორმაციის დადგენას და განაწილებული აღრიცხვის ტექნოლოგიაზე (DLT) დაყრდნობით მიკვლევადობას. აღნიშნულ მომსახურებასთან დაკავშირებული რისკები გათვალისწინებულ იქნა საქართველოს ვირტუალური აქტივის ეკოსისტემასთან მიმართებაში</w:t>
      </w:r>
      <w:r w:rsidR="005551DD" w:rsidRPr="0042384C">
        <w:rPr>
          <w:rFonts w:asciiTheme="majorHAnsi" w:hAnsiTheme="majorHAnsi"/>
        </w:rPr>
        <w:t>.</w:t>
      </w:r>
      <w:r w:rsidRPr="0042384C">
        <w:rPr>
          <w:rFonts w:asciiTheme="majorHAnsi" w:hAnsiTheme="majorHAnsi"/>
        </w:rPr>
        <w:t xml:space="preserve"> კერძოდ, საქართველოს ეროვნული ბანკის რეგულაციით აიკრძალა VASP-ების მიერ მსგავსი ვირტუალური აქტივ</w:t>
      </w:r>
      <w:r w:rsidR="006A3231" w:rsidRPr="0042384C">
        <w:rPr>
          <w:rFonts w:asciiTheme="majorHAnsi" w:hAnsiTheme="majorHAnsi"/>
        </w:rPr>
        <w:t>ებ</w:t>
      </w:r>
      <w:r w:rsidRPr="0042384C">
        <w:rPr>
          <w:rFonts w:asciiTheme="majorHAnsi" w:hAnsiTheme="majorHAnsi"/>
        </w:rPr>
        <w:t xml:space="preserve">ის გამოყენება. მიუხედავად </w:t>
      </w:r>
      <w:r w:rsidR="006A3231" w:rsidRPr="0042384C">
        <w:rPr>
          <w:rFonts w:asciiTheme="majorHAnsi" w:hAnsiTheme="majorHAnsi"/>
        </w:rPr>
        <w:t>ამ</w:t>
      </w:r>
      <w:r w:rsidRPr="0042384C">
        <w:rPr>
          <w:rFonts w:asciiTheme="majorHAnsi" w:hAnsiTheme="majorHAnsi"/>
        </w:rPr>
        <w:t xml:space="preserve"> შეზღუდვისა, საქართველოში </w:t>
      </w:r>
      <w:r w:rsidR="005551DD" w:rsidRPr="0042384C">
        <w:rPr>
          <w:rFonts w:asciiTheme="majorHAnsi" w:hAnsiTheme="majorHAnsi"/>
        </w:rPr>
        <w:t>მოქმედი</w:t>
      </w:r>
      <w:r w:rsidRPr="0042384C">
        <w:rPr>
          <w:rFonts w:asciiTheme="majorHAnsi" w:hAnsiTheme="majorHAnsi"/>
        </w:rPr>
        <w:t xml:space="preserve"> VASP-ებისთვის გამოწვევად რჩება ვირტუალური აქტივის მიღება, რომლის წარმომავლობა დაკავშირებულია ე.წ.</w:t>
      </w:r>
      <w:r w:rsidR="00952A3E" w:rsidRPr="0042384C">
        <w:rPr>
          <w:rFonts w:asciiTheme="majorHAnsi" w:hAnsiTheme="majorHAnsi"/>
        </w:rPr>
        <w:t xml:space="preserve"> „</w:t>
      </w:r>
      <w:r w:rsidRPr="0042384C">
        <w:rPr>
          <w:rFonts w:asciiTheme="majorHAnsi" w:hAnsiTheme="majorHAnsi"/>
        </w:rPr>
        <w:t>Privacy Coin“-ებთან.</w:t>
      </w:r>
    </w:p>
    <w:p w14:paraId="39242297" w14:textId="4D9B81BB" w:rsidR="00D2327B" w:rsidRPr="0042384C" w:rsidRDefault="00D2327B" w:rsidP="002E566C">
      <w:pPr>
        <w:spacing w:line="276" w:lineRule="auto"/>
        <w:jc w:val="both"/>
        <w:rPr>
          <w:rFonts w:asciiTheme="majorHAnsi" w:hAnsiTheme="majorHAnsi"/>
        </w:rPr>
      </w:pPr>
      <w:r w:rsidRPr="0042384C">
        <w:rPr>
          <w:rFonts w:asciiTheme="majorHAnsi" w:hAnsiTheme="majorHAnsi"/>
          <w:i/>
        </w:rPr>
        <w:t xml:space="preserve">ვირტუალური აქტივის შერევის მომსახურება </w:t>
      </w:r>
      <w:r w:rsidR="00952A3E" w:rsidRPr="0042384C">
        <w:rPr>
          <w:rFonts w:asciiTheme="majorHAnsi" w:hAnsiTheme="majorHAnsi"/>
        </w:rPr>
        <w:t>(Mixers/Tumblers) −</w:t>
      </w:r>
      <w:r w:rsidRPr="0042384C">
        <w:rPr>
          <w:rFonts w:asciiTheme="majorHAnsi" w:hAnsiTheme="majorHAnsi"/>
        </w:rPr>
        <w:t xml:space="preserve"> ვირტუალური აქ</w:t>
      </w:r>
      <w:r w:rsidR="00952A3E" w:rsidRPr="0042384C">
        <w:rPr>
          <w:rFonts w:asciiTheme="majorHAnsi" w:hAnsiTheme="majorHAnsi"/>
        </w:rPr>
        <w:t>ტივის შერევის მომსახურება (ე.წ. „mixers/tumblers“</w:t>
      </w:r>
      <w:r w:rsidRPr="0042384C">
        <w:rPr>
          <w:rFonts w:asciiTheme="majorHAnsi" w:hAnsiTheme="majorHAnsi"/>
        </w:rPr>
        <w:t>) წარმოადგენს მომსახურებას, რომლითაც ხორციელდება ვირტუალური აქტივების სხვადასხვა ნაკადის შერევა</w:t>
      </w:r>
      <w:r w:rsidR="00952A3E" w:rsidRPr="0042384C">
        <w:rPr>
          <w:rFonts w:asciiTheme="majorHAnsi" w:hAnsiTheme="majorHAnsi"/>
        </w:rPr>
        <w:t>,</w:t>
      </w:r>
      <w:r w:rsidRPr="0042384C">
        <w:rPr>
          <w:rFonts w:asciiTheme="majorHAnsi" w:hAnsiTheme="majorHAnsi"/>
        </w:rPr>
        <w:t xml:space="preserve"> ვირტუალური აქტივის წარმომავლობის კვალის </w:t>
      </w:r>
      <w:r w:rsidR="006A3231" w:rsidRPr="0042384C">
        <w:rPr>
          <w:rFonts w:asciiTheme="majorHAnsi" w:hAnsiTheme="majorHAnsi"/>
        </w:rPr>
        <w:t>დაფარვის</w:t>
      </w:r>
      <w:r w:rsidRPr="0042384C">
        <w:rPr>
          <w:rFonts w:asciiTheme="majorHAnsi" w:hAnsiTheme="majorHAnsi"/>
        </w:rPr>
        <w:t xml:space="preserve"> მიზნით. აღნიშნულ მომსახურებასთან დაკავშირებული რისკები გათვალისწინებულ იქნა საქართველოს ვირტუალური აქტივის ეკოსისტემასთან მიმართებაში</w:t>
      </w:r>
      <w:r w:rsidR="005551DD" w:rsidRPr="0042384C">
        <w:rPr>
          <w:rFonts w:asciiTheme="majorHAnsi" w:hAnsiTheme="majorHAnsi"/>
        </w:rPr>
        <w:t>.</w:t>
      </w:r>
      <w:r w:rsidRPr="0042384C">
        <w:rPr>
          <w:rFonts w:asciiTheme="majorHAnsi" w:hAnsiTheme="majorHAnsi"/>
        </w:rPr>
        <w:t xml:space="preserve"> კერძოდ, </w:t>
      </w:r>
      <w:r w:rsidR="005551DD" w:rsidRPr="0042384C">
        <w:rPr>
          <w:rFonts w:asciiTheme="majorHAnsi" w:hAnsiTheme="majorHAnsi"/>
        </w:rPr>
        <w:t xml:space="preserve">საქართველოს ეროვნული ბანკის რეგულაციით აიკრძალა </w:t>
      </w:r>
      <w:r w:rsidRPr="0042384C">
        <w:rPr>
          <w:rFonts w:asciiTheme="majorHAnsi" w:hAnsiTheme="majorHAnsi"/>
        </w:rPr>
        <w:t xml:space="preserve">VASP-ების მიერ მსგავსი ტექნოლოგიების გამოყენება. მიუხედავად </w:t>
      </w:r>
      <w:r w:rsidR="005551DD" w:rsidRPr="0042384C">
        <w:rPr>
          <w:rFonts w:asciiTheme="majorHAnsi" w:hAnsiTheme="majorHAnsi"/>
        </w:rPr>
        <w:t>ამისა</w:t>
      </w:r>
      <w:r w:rsidRPr="0042384C">
        <w:rPr>
          <w:rFonts w:asciiTheme="majorHAnsi" w:hAnsiTheme="majorHAnsi"/>
        </w:rPr>
        <w:t xml:space="preserve">, საქართველოში </w:t>
      </w:r>
      <w:r w:rsidR="005551DD" w:rsidRPr="0042384C">
        <w:rPr>
          <w:rFonts w:asciiTheme="majorHAnsi" w:hAnsiTheme="majorHAnsi"/>
        </w:rPr>
        <w:t>მოქმედი</w:t>
      </w:r>
      <w:r w:rsidRPr="0042384C">
        <w:rPr>
          <w:rFonts w:asciiTheme="majorHAnsi" w:hAnsiTheme="majorHAnsi"/>
        </w:rPr>
        <w:t xml:space="preserve"> VASP-ებისთვის გამოწვევად რჩება ასეთი სერვისებიდან/სერვისებში ვირტუალური აქტივის მიღების/გადაცემის (როგორც პირდაპირი, ასევე</w:t>
      </w:r>
      <w:r w:rsidR="00952A3E" w:rsidRPr="0042384C">
        <w:rPr>
          <w:rFonts w:asciiTheme="majorHAnsi" w:hAnsiTheme="majorHAnsi"/>
        </w:rPr>
        <w:t xml:space="preserve"> არაპირდაპირი - რამდენიმე ე.წ. „hop“</w:t>
      </w:r>
      <w:r w:rsidRPr="0042384C">
        <w:rPr>
          <w:rFonts w:asciiTheme="majorHAnsi" w:hAnsiTheme="majorHAnsi"/>
        </w:rPr>
        <w:t>-ის გამოყენებით) პრევენცია და მონიტორინგი.</w:t>
      </w:r>
    </w:p>
    <w:p w14:paraId="4ECEE36E" w14:textId="5EBA991E" w:rsidR="00EB0602" w:rsidRPr="0042384C" w:rsidRDefault="00D2327B" w:rsidP="003F7CDA">
      <w:pPr>
        <w:spacing w:line="276" w:lineRule="auto"/>
        <w:jc w:val="both"/>
        <w:rPr>
          <w:rFonts w:asciiTheme="majorHAnsi" w:hAnsiTheme="majorHAnsi"/>
        </w:rPr>
      </w:pPr>
      <w:r w:rsidRPr="0042384C">
        <w:rPr>
          <w:rFonts w:asciiTheme="majorHAnsi" w:hAnsiTheme="majorHAnsi"/>
          <w:i/>
        </w:rPr>
        <w:t>Cross Chain Bridge</w:t>
      </w:r>
      <w:r w:rsidRPr="0042384C">
        <w:rPr>
          <w:rFonts w:asciiTheme="majorHAnsi" w:hAnsiTheme="majorHAnsi"/>
        </w:rPr>
        <w:t xml:space="preserve"> </w:t>
      </w:r>
      <w:r w:rsidR="001922B9">
        <w:rPr>
          <w:rFonts w:asciiTheme="majorHAnsi" w:hAnsiTheme="majorHAnsi" w:cs="Calibri"/>
        </w:rPr>
        <w:t>−</w:t>
      </w:r>
      <w:r w:rsidRPr="0042384C">
        <w:rPr>
          <w:rFonts w:asciiTheme="majorHAnsi" w:hAnsiTheme="majorHAnsi"/>
        </w:rPr>
        <w:t xml:space="preserve"> ვირტუალური აქტივის შერევის მომსახურების (Mixers/Tumblers) გარდა, ბოლო პერიოდში გამოიკვეთა </w:t>
      </w:r>
      <w:r w:rsidR="005551DD" w:rsidRPr="0042384C">
        <w:rPr>
          <w:rFonts w:asciiTheme="majorHAnsi" w:hAnsiTheme="majorHAnsi"/>
        </w:rPr>
        <w:t>უკანონოდ</w:t>
      </w:r>
      <w:r w:rsidRPr="0042384C">
        <w:rPr>
          <w:rFonts w:asciiTheme="majorHAnsi" w:hAnsiTheme="majorHAnsi"/>
        </w:rPr>
        <w:t xml:space="preserve"> მოპოვებული ვირტუალური აქტივის წყაროს დაფარვის ახალი ტიპოლოგია - ე.წ. „Chain Hopping“.  ამ ტიპოლოგიაში გამოყე</w:t>
      </w:r>
      <w:r w:rsidR="005551DD" w:rsidRPr="0042384C">
        <w:rPr>
          <w:rFonts w:asciiTheme="majorHAnsi" w:hAnsiTheme="majorHAnsi"/>
        </w:rPr>
        <w:t>ნება ე.წ. „Cross Chain Bridge</w:t>
      </w:r>
      <w:r w:rsidRPr="0042384C">
        <w:rPr>
          <w:rFonts w:asciiTheme="majorHAnsi" w:hAnsiTheme="majorHAnsi"/>
        </w:rPr>
        <w:t>“, რომლის მეშვეობით ხორციელდება ღირებულების ერთი ბლოკჩეინიდან სხვა ბლოკჩეინზე სწრაფად და შეუფერხებლად გადატანა</w:t>
      </w:r>
      <w:r w:rsidRPr="0042384C">
        <w:rPr>
          <w:rFonts w:asciiTheme="majorHAnsi" w:hAnsiTheme="majorHAnsi"/>
          <w:vertAlign w:val="superscript"/>
        </w:rPr>
        <w:footnoteReference w:id="11"/>
      </w:r>
      <w:r w:rsidR="00952A3E" w:rsidRPr="0042384C">
        <w:rPr>
          <w:rFonts w:asciiTheme="majorHAnsi" w:hAnsiTheme="majorHAnsi"/>
        </w:rPr>
        <w:t>.</w:t>
      </w:r>
      <w:r w:rsidRPr="0042384C">
        <w:rPr>
          <w:rFonts w:asciiTheme="majorHAnsi" w:hAnsiTheme="majorHAnsi"/>
        </w:rPr>
        <w:t xml:space="preserve"> საერთაშორისო ბაზარზე მოქმედი ბლოკჩეინ ანალიტიკის პროგრამული უზრუნველყოფის მიმწოდებლის მიერ გ</w:t>
      </w:r>
      <w:r w:rsidR="000A3289" w:rsidRPr="0042384C">
        <w:rPr>
          <w:rFonts w:asciiTheme="majorHAnsi" w:hAnsiTheme="majorHAnsi"/>
        </w:rPr>
        <w:t>ანხორციელებული კვლევის მიხედვით</w:t>
      </w:r>
      <w:r w:rsidRPr="0042384C">
        <w:rPr>
          <w:rFonts w:asciiTheme="majorHAnsi" w:hAnsiTheme="majorHAnsi"/>
          <w:vertAlign w:val="superscript"/>
        </w:rPr>
        <w:footnoteReference w:id="12"/>
      </w:r>
      <w:r w:rsidR="000A3289" w:rsidRPr="0042384C">
        <w:rPr>
          <w:rFonts w:asciiTheme="majorHAnsi" w:hAnsiTheme="majorHAnsi"/>
        </w:rPr>
        <w:t>,</w:t>
      </w:r>
      <w:r w:rsidRPr="0042384C">
        <w:rPr>
          <w:rFonts w:asciiTheme="majorHAnsi" w:hAnsiTheme="majorHAnsi"/>
        </w:rPr>
        <w:t xml:space="preserve"> ფულის გათეთრების ერთ-ერთი ყველაზე გავრცელებული მეთოდი 2022 წლის აგვისტომდე იყო ვირტუალური აქტივის შერევის მომსახურების (Mixers/Tumblers) გამოყენება</w:t>
      </w:r>
      <w:r w:rsidR="001A340A" w:rsidRPr="0042384C">
        <w:rPr>
          <w:rFonts w:asciiTheme="majorHAnsi" w:hAnsiTheme="majorHAnsi"/>
        </w:rPr>
        <w:t>.</w:t>
      </w:r>
      <w:r w:rsidRPr="0042384C">
        <w:rPr>
          <w:rFonts w:asciiTheme="majorHAnsi" w:hAnsiTheme="majorHAnsi"/>
        </w:rPr>
        <w:t xml:space="preserve"> თუმცა, </w:t>
      </w:r>
      <w:r w:rsidR="001A340A" w:rsidRPr="0042384C">
        <w:rPr>
          <w:rFonts w:asciiTheme="majorHAnsi" w:hAnsiTheme="majorHAnsi"/>
        </w:rPr>
        <w:lastRenderedPageBreak/>
        <w:t>მოგვიანებით Cross Chain Bridge-ის</w:t>
      </w:r>
      <w:r w:rsidRPr="0042384C">
        <w:rPr>
          <w:rFonts w:asciiTheme="majorHAnsi" w:hAnsiTheme="majorHAnsi"/>
        </w:rPr>
        <w:t xml:space="preserve"> გამოყენება გახდა ფულის გათეთრების ალტერნატიული მეთოდი. ეს ტენდენცია განაპირობა სხვადასხვა გარემოებამ, მათ შორის, საერთაშორისო სანქციებით დაწესებულმა შეზღუდვებმა და ამ მეთოდით </w:t>
      </w:r>
      <w:r w:rsidR="001A340A" w:rsidRPr="0042384C">
        <w:rPr>
          <w:rFonts w:asciiTheme="majorHAnsi" w:hAnsiTheme="majorHAnsi"/>
        </w:rPr>
        <w:t>შესრულებული ოპერაციების</w:t>
      </w:r>
      <w:r w:rsidRPr="0042384C">
        <w:rPr>
          <w:rFonts w:asciiTheme="majorHAnsi" w:hAnsiTheme="majorHAnsi"/>
        </w:rPr>
        <w:t xml:space="preserve"> მიკლევადობის ტექნიკური გადაწყვეტის სიმცირემ.</w:t>
      </w:r>
    </w:p>
    <w:p w14:paraId="75CF2003" w14:textId="4C839D04" w:rsidR="00F21DE6" w:rsidRPr="0042384C" w:rsidRDefault="00EB0602" w:rsidP="002E566C">
      <w:pPr>
        <w:spacing w:line="276" w:lineRule="auto"/>
        <w:jc w:val="both"/>
        <w:rPr>
          <w:rFonts w:asciiTheme="majorHAnsi" w:hAnsiTheme="majorHAnsi"/>
        </w:rPr>
      </w:pPr>
      <w:r w:rsidRPr="0042384C">
        <w:rPr>
          <w:rFonts w:asciiTheme="majorHAnsi" w:hAnsiTheme="majorHAnsi"/>
          <w:i/>
        </w:rPr>
        <w:t>საერთაშორისო კოლაბორაცია და კოორდინაცია</w:t>
      </w:r>
      <w:r w:rsidRPr="0042384C">
        <w:rPr>
          <w:rFonts w:asciiTheme="majorHAnsi" w:hAnsiTheme="majorHAnsi"/>
        </w:rPr>
        <w:t xml:space="preserve"> - საქართველოს ეროვნული ბანკი 2022 წლიდან თანამშრომლობს ევროპის უშიშროებისა და თანამშრომლობის ორგანიზაციასთან (ეუთოსთან). თანმშრომლობა მიზნად ისახავს </w:t>
      </w:r>
      <w:r w:rsidR="00007995" w:rsidRPr="0042384C">
        <w:rPr>
          <w:rFonts w:asciiTheme="majorHAnsi" w:hAnsiTheme="majorHAnsi"/>
        </w:rPr>
        <w:t xml:space="preserve">საქართველოს </w:t>
      </w:r>
      <w:r w:rsidRPr="0042384C">
        <w:rPr>
          <w:rFonts w:asciiTheme="majorHAnsi" w:hAnsiTheme="majorHAnsi"/>
        </w:rPr>
        <w:t>ეროვნულ</w:t>
      </w:r>
      <w:r w:rsidR="00E95990">
        <w:rPr>
          <w:rFonts w:asciiTheme="majorHAnsi" w:hAnsiTheme="majorHAnsi"/>
        </w:rPr>
        <w:t>ი</w:t>
      </w:r>
      <w:r w:rsidRPr="0042384C">
        <w:rPr>
          <w:rFonts w:asciiTheme="majorHAnsi" w:hAnsiTheme="majorHAnsi"/>
        </w:rPr>
        <w:t xml:space="preserve"> ბანკის მხარდაჭერას ვირტუალური აქტივის საზედამხედველო ჩარჩოს დახვეწის პროცესში. ეუთოსგან მიღებული მხარდაჭერა </w:t>
      </w:r>
      <w:r w:rsidR="00007995" w:rsidRPr="0042384C">
        <w:rPr>
          <w:rFonts w:asciiTheme="majorHAnsi" w:hAnsiTheme="majorHAnsi"/>
        </w:rPr>
        <w:t>მოიცავს</w:t>
      </w:r>
      <w:r w:rsidRPr="0042384C">
        <w:rPr>
          <w:rFonts w:asciiTheme="majorHAnsi" w:hAnsiTheme="majorHAnsi"/>
        </w:rPr>
        <w:t xml:space="preserve"> საერთაშორისო ექსპერტების კონსულტაციებს, სამუშაო შეხვედრებს, ტრეინინგებსა და სხვა </w:t>
      </w:r>
      <w:r w:rsidR="00007995" w:rsidRPr="0042384C">
        <w:rPr>
          <w:rFonts w:asciiTheme="majorHAnsi" w:hAnsiTheme="majorHAnsi"/>
        </w:rPr>
        <w:t>ქმედებებს</w:t>
      </w:r>
      <w:r w:rsidRPr="0042384C">
        <w:rPr>
          <w:rFonts w:asciiTheme="majorHAnsi" w:hAnsiTheme="majorHAnsi"/>
        </w:rPr>
        <w:t xml:space="preserve"> თანამშრომლების შესაძლებლობების გაძლიერების მიზნით. ამასთან, საქართველოს ეროვნული ბანკი შეუერთდა ვირტუალური აქტივის საერთაშორისო რეგულატორთა არაერთ წრეს, მათ შორის, სამუშაო ჯგუფების ფორმატში. </w:t>
      </w:r>
    </w:p>
    <w:p w14:paraId="1CDAE4A5" w14:textId="1A7D4852" w:rsidR="007A5AA4" w:rsidRPr="0042384C" w:rsidRDefault="00EB0602" w:rsidP="002E566C">
      <w:pPr>
        <w:spacing w:line="276" w:lineRule="auto"/>
        <w:jc w:val="both"/>
        <w:rPr>
          <w:rFonts w:asciiTheme="majorHAnsi" w:hAnsiTheme="majorHAnsi"/>
        </w:rPr>
      </w:pPr>
      <w:r w:rsidRPr="0042384C">
        <w:rPr>
          <w:rFonts w:asciiTheme="majorHAnsi" w:hAnsiTheme="majorHAnsi"/>
          <w:i/>
        </w:rPr>
        <w:t>VASP-ების რეგისტრაცია/რეგულირება</w:t>
      </w:r>
      <w:r w:rsidR="000A3289" w:rsidRPr="0042384C">
        <w:rPr>
          <w:rFonts w:asciiTheme="majorHAnsi" w:hAnsiTheme="majorHAnsi"/>
        </w:rPr>
        <w:t xml:space="preserve"> −</w:t>
      </w:r>
      <w:r w:rsidRPr="0042384C">
        <w:rPr>
          <w:rFonts w:asciiTheme="majorHAnsi" w:hAnsiTheme="majorHAnsi"/>
        </w:rPr>
        <w:t xml:space="preserve"> </w:t>
      </w:r>
      <w:r w:rsidR="00F21DE6" w:rsidRPr="0042384C">
        <w:rPr>
          <w:rFonts w:asciiTheme="majorHAnsi" w:hAnsiTheme="majorHAnsi"/>
        </w:rPr>
        <w:t xml:space="preserve">საქართველოს </w:t>
      </w:r>
      <w:r w:rsidRPr="0042384C">
        <w:rPr>
          <w:rFonts w:asciiTheme="majorHAnsi" w:hAnsiTheme="majorHAnsi"/>
        </w:rPr>
        <w:t xml:space="preserve">ეროვნულმა ბანკმა მნიშვნელოვანი ნაბიჯები გადადგა VASP-ების ეკოსისტემაში რისკების პრევენციის, მართვისა და შემცირების კუთხით. </w:t>
      </w:r>
      <w:r w:rsidR="00F21DE6" w:rsidRPr="0042384C">
        <w:rPr>
          <w:rFonts w:asciiTheme="majorHAnsi" w:hAnsiTheme="majorHAnsi"/>
        </w:rPr>
        <w:t>VASP-ების</w:t>
      </w:r>
      <w:r w:rsidRPr="0042384C">
        <w:rPr>
          <w:rFonts w:asciiTheme="majorHAnsi" w:hAnsiTheme="majorHAnsi"/>
        </w:rPr>
        <w:t xml:space="preserve"> რეგისტრაციის პროცესში </w:t>
      </w:r>
      <w:r w:rsidR="00F21DE6" w:rsidRPr="0042384C">
        <w:rPr>
          <w:rFonts w:asciiTheme="majorHAnsi" w:hAnsiTheme="majorHAnsi"/>
        </w:rPr>
        <w:t>მოწმდება</w:t>
      </w:r>
      <w:r w:rsidR="000A3289" w:rsidRPr="0042384C">
        <w:rPr>
          <w:rFonts w:asciiTheme="majorHAnsi" w:hAnsiTheme="majorHAnsi"/>
        </w:rPr>
        <w:t xml:space="preserve"> VASP-</w:t>
      </w:r>
      <w:r w:rsidR="00F21DE6" w:rsidRPr="0042384C">
        <w:rPr>
          <w:rFonts w:asciiTheme="majorHAnsi" w:hAnsiTheme="majorHAnsi"/>
        </w:rPr>
        <w:t>ებ</w:t>
      </w:r>
      <w:r w:rsidR="000A3289" w:rsidRPr="0042384C">
        <w:rPr>
          <w:rFonts w:asciiTheme="majorHAnsi" w:hAnsiTheme="majorHAnsi"/>
        </w:rPr>
        <w:t>ი</w:t>
      </w:r>
      <w:r w:rsidRPr="0042384C">
        <w:rPr>
          <w:rFonts w:asciiTheme="majorHAnsi" w:hAnsiTheme="majorHAnsi"/>
        </w:rPr>
        <w:t xml:space="preserve">ს </w:t>
      </w:r>
      <w:r w:rsidR="00F21DE6" w:rsidRPr="0042384C">
        <w:rPr>
          <w:rFonts w:asciiTheme="majorHAnsi" w:hAnsiTheme="majorHAnsi"/>
        </w:rPr>
        <w:t>პოლიტიკა-პროცედურები და</w:t>
      </w:r>
      <w:r w:rsidRPr="0042384C">
        <w:rPr>
          <w:rFonts w:asciiTheme="majorHAnsi" w:hAnsiTheme="majorHAnsi"/>
        </w:rPr>
        <w:t xml:space="preserve"> ორგანიზაციული რისკ</w:t>
      </w:r>
      <w:r w:rsidR="00F21DE6" w:rsidRPr="0042384C">
        <w:rPr>
          <w:rFonts w:asciiTheme="majorHAnsi" w:hAnsiTheme="majorHAnsi"/>
        </w:rPr>
        <w:t>ებ</w:t>
      </w:r>
      <w:r w:rsidRPr="0042384C">
        <w:rPr>
          <w:rFonts w:asciiTheme="majorHAnsi" w:hAnsiTheme="majorHAnsi"/>
        </w:rPr>
        <w:t>ის შეფასებ</w:t>
      </w:r>
      <w:r w:rsidR="00F21DE6" w:rsidRPr="0042384C">
        <w:rPr>
          <w:rFonts w:asciiTheme="majorHAnsi" w:hAnsiTheme="majorHAnsi"/>
        </w:rPr>
        <w:t>ა</w:t>
      </w:r>
      <w:r w:rsidRPr="0042384C">
        <w:rPr>
          <w:rFonts w:asciiTheme="majorHAnsi" w:hAnsiTheme="majorHAnsi"/>
        </w:rPr>
        <w:t>. ამასთან, VASP-ი ვალდებულია</w:t>
      </w:r>
      <w:r w:rsidR="00F21DE6" w:rsidRPr="0042384C">
        <w:rPr>
          <w:rFonts w:asciiTheme="majorHAnsi" w:hAnsiTheme="majorHAnsi"/>
        </w:rPr>
        <w:t>,</w:t>
      </w:r>
      <w:r w:rsidRPr="0042384C">
        <w:rPr>
          <w:rFonts w:asciiTheme="majorHAnsi" w:hAnsiTheme="majorHAnsi"/>
        </w:rPr>
        <w:t xml:space="preserve"> საქმიანობის დაწყება</w:t>
      </w:r>
      <w:r w:rsidR="00F21DE6" w:rsidRPr="0042384C">
        <w:rPr>
          <w:rFonts w:asciiTheme="majorHAnsi" w:hAnsiTheme="majorHAnsi"/>
        </w:rPr>
        <w:t>მდე დანერგოს პროგრამული სისტემა</w:t>
      </w:r>
      <w:r w:rsidRPr="0042384C">
        <w:rPr>
          <w:rFonts w:asciiTheme="majorHAnsi" w:hAnsiTheme="majorHAnsi"/>
        </w:rPr>
        <w:t xml:space="preserve"> </w:t>
      </w:r>
      <w:r w:rsidR="00F21DE6" w:rsidRPr="0042384C">
        <w:rPr>
          <w:rFonts w:asciiTheme="majorHAnsi" w:hAnsiTheme="majorHAnsi"/>
        </w:rPr>
        <w:t>ოპერაციების</w:t>
      </w:r>
      <w:r w:rsidRPr="0042384C">
        <w:rPr>
          <w:rFonts w:asciiTheme="majorHAnsi" w:hAnsiTheme="majorHAnsi"/>
        </w:rPr>
        <w:t xml:space="preserve"> მონიტორინგ</w:t>
      </w:r>
      <w:r w:rsidR="00F21DE6" w:rsidRPr="0042384C">
        <w:rPr>
          <w:rFonts w:asciiTheme="majorHAnsi" w:hAnsiTheme="majorHAnsi"/>
        </w:rPr>
        <w:t>ისა</w:t>
      </w:r>
      <w:r w:rsidRPr="0042384C">
        <w:rPr>
          <w:rFonts w:asciiTheme="majorHAnsi" w:hAnsiTheme="majorHAnsi"/>
        </w:rPr>
        <w:t xml:space="preserve"> და საეჭვო ოპერაციების გამო</w:t>
      </w:r>
      <w:r w:rsidR="00F21DE6" w:rsidRPr="0042384C">
        <w:rPr>
          <w:rFonts w:asciiTheme="majorHAnsi" w:hAnsiTheme="majorHAnsi"/>
        </w:rPr>
        <w:t>სა</w:t>
      </w:r>
      <w:r w:rsidRPr="0042384C">
        <w:rPr>
          <w:rFonts w:asciiTheme="majorHAnsi" w:hAnsiTheme="majorHAnsi"/>
        </w:rPr>
        <w:t>ვლენა</w:t>
      </w:r>
      <w:r w:rsidR="00F21DE6" w:rsidRPr="0042384C">
        <w:rPr>
          <w:rFonts w:asciiTheme="majorHAnsi" w:hAnsiTheme="majorHAnsi"/>
        </w:rPr>
        <w:t>დ და</w:t>
      </w:r>
      <w:r w:rsidRPr="0042384C">
        <w:rPr>
          <w:rFonts w:asciiTheme="majorHAnsi" w:hAnsiTheme="majorHAnsi"/>
        </w:rPr>
        <w:t xml:space="preserve"> დაიცვას სხვა მოთხოვნები</w:t>
      </w:r>
      <w:r w:rsidR="00F21DE6" w:rsidRPr="0042384C">
        <w:rPr>
          <w:rFonts w:asciiTheme="majorHAnsi" w:hAnsiTheme="majorHAnsi"/>
        </w:rPr>
        <w:t>, მათ შორის</w:t>
      </w:r>
      <w:r w:rsidRPr="0042384C">
        <w:rPr>
          <w:rFonts w:asciiTheme="majorHAnsi" w:hAnsiTheme="majorHAnsi"/>
        </w:rPr>
        <w:t xml:space="preserve"> ე.წ. Privacy Coins-ებთან</w:t>
      </w:r>
      <w:r w:rsidR="00F21DE6" w:rsidRPr="0042384C">
        <w:rPr>
          <w:rFonts w:asciiTheme="majorHAnsi" w:hAnsiTheme="majorHAnsi"/>
        </w:rPr>
        <w:t xml:space="preserve"> და</w:t>
      </w:r>
      <w:r w:rsidRPr="0042384C">
        <w:rPr>
          <w:rFonts w:asciiTheme="majorHAnsi" w:hAnsiTheme="majorHAnsi"/>
        </w:rPr>
        <w:t xml:space="preserve"> Mixers/Tumblers-ებთან დაკავშირებული შეზღუდვები. </w:t>
      </w:r>
      <w:r w:rsidR="00F21DE6" w:rsidRPr="0042384C">
        <w:rPr>
          <w:rFonts w:asciiTheme="majorHAnsi" w:hAnsiTheme="majorHAnsi"/>
        </w:rPr>
        <w:t>ეს გარემოება</w:t>
      </w:r>
      <w:r w:rsidRPr="0042384C">
        <w:rPr>
          <w:rFonts w:asciiTheme="majorHAnsi" w:hAnsiTheme="majorHAnsi"/>
        </w:rPr>
        <w:t xml:space="preserve"> </w:t>
      </w:r>
      <w:r w:rsidR="00F21DE6" w:rsidRPr="0042384C">
        <w:rPr>
          <w:rFonts w:asciiTheme="majorHAnsi" w:hAnsiTheme="majorHAnsi"/>
        </w:rPr>
        <w:t>ზღუდავს ისეთი</w:t>
      </w:r>
      <w:r w:rsidRPr="0042384C">
        <w:rPr>
          <w:rFonts w:asciiTheme="majorHAnsi" w:hAnsiTheme="majorHAnsi"/>
        </w:rPr>
        <w:t xml:space="preserve"> VASP-ების ბაზარზე შემოსვლ</w:t>
      </w:r>
      <w:r w:rsidR="00F21DE6" w:rsidRPr="0042384C">
        <w:rPr>
          <w:rFonts w:asciiTheme="majorHAnsi" w:hAnsiTheme="majorHAnsi"/>
        </w:rPr>
        <w:t>ა</w:t>
      </w:r>
      <w:r w:rsidRPr="0042384C">
        <w:rPr>
          <w:rFonts w:asciiTheme="majorHAnsi" w:hAnsiTheme="majorHAnsi"/>
        </w:rPr>
        <w:t>ს</w:t>
      </w:r>
      <w:r w:rsidR="00F21DE6" w:rsidRPr="0042384C">
        <w:rPr>
          <w:rFonts w:asciiTheme="majorHAnsi" w:hAnsiTheme="majorHAnsi"/>
        </w:rPr>
        <w:t>, რომლებსაც</w:t>
      </w:r>
      <w:r w:rsidRPr="0042384C">
        <w:rPr>
          <w:rFonts w:asciiTheme="majorHAnsi" w:hAnsiTheme="majorHAnsi"/>
        </w:rPr>
        <w:t xml:space="preserve"> არ აქვთ დანერგილი</w:t>
      </w:r>
      <w:r w:rsidR="00F21DE6" w:rsidRPr="0042384C">
        <w:rPr>
          <w:rFonts w:asciiTheme="majorHAnsi" w:hAnsiTheme="majorHAnsi"/>
        </w:rPr>
        <w:t xml:space="preserve"> სათანადო კონტროლის მექანიზმები</w:t>
      </w:r>
      <w:r w:rsidRPr="0042384C">
        <w:rPr>
          <w:rFonts w:asciiTheme="majorHAnsi" w:hAnsiTheme="majorHAnsi"/>
        </w:rPr>
        <w:t xml:space="preserve">. </w:t>
      </w:r>
    </w:p>
    <w:p w14:paraId="09447EB3" w14:textId="74D93999" w:rsidR="00EB0602" w:rsidRPr="0042384C" w:rsidRDefault="00EB0602" w:rsidP="00EB0602">
      <w:pPr>
        <w:spacing w:line="276" w:lineRule="auto"/>
        <w:jc w:val="both"/>
        <w:rPr>
          <w:rFonts w:asciiTheme="majorHAnsi" w:hAnsiTheme="majorHAnsi"/>
        </w:rPr>
      </w:pPr>
      <w:r w:rsidRPr="0042384C">
        <w:rPr>
          <w:rFonts w:asciiTheme="majorHAnsi" w:hAnsiTheme="majorHAnsi"/>
          <w:i/>
        </w:rPr>
        <w:t xml:space="preserve">სამართლებრივი აქტები და </w:t>
      </w:r>
      <w:r w:rsidR="00F21DE6" w:rsidRPr="0042384C">
        <w:rPr>
          <w:rFonts w:asciiTheme="majorHAnsi" w:hAnsiTheme="majorHAnsi"/>
          <w:i/>
        </w:rPr>
        <w:t>სახელმძღვანელოები</w:t>
      </w:r>
      <w:r w:rsidRPr="0042384C">
        <w:rPr>
          <w:rFonts w:asciiTheme="majorHAnsi" w:hAnsiTheme="majorHAnsi"/>
        </w:rPr>
        <w:t xml:space="preserve"> </w:t>
      </w:r>
      <w:r w:rsidR="00E95990">
        <w:rPr>
          <w:rFonts w:asciiTheme="majorHAnsi" w:hAnsiTheme="majorHAnsi" w:cs="Calibri"/>
        </w:rPr>
        <w:t>−</w:t>
      </w:r>
      <w:r w:rsidRPr="0042384C">
        <w:rPr>
          <w:rFonts w:asciiTheme="majorHAnsi" w:hAnsiTheme="majorHAnsi"/>
        </w:rPr>
        <w:t xml:space="preserve"> ვირტუალური აქტივისა და ვირტუალური აქტივის მომსახურების სპეციფიკასთან დაკავშირებული რისკების მართვის მიზნით</w:t>
      </w:r>
      <w:r w:rsidR="00F21DE6" w:rsidRPr="0042384C">
        <w:rPr>
          <w:rFonts w:asciiTheme="majorHAnsi" w:hAnsiTheme="majorHAnsi"/>
        </w:rPr>
        <w:t>, საქართველოს</w:t>
      </w:r>
      <w:r w:rsidRPr="0042384C">
        <w:rPr>
          <w:rFonts w:asciiTheme="majorHAnsi" w:hAnsiTheme="majorHAnsi"/>
        </w:rPr>
        <w:t xml:space="preserve"> ეროვნულმა ბანკმა შეიმუშავა საყურადღებო ნიშნების შესახებ სახელმძღვანელო, რომელიც VASP-ებს დაეხმარება საეჭვო</w:t>
      </w:r>
      <w:r w:rsidR="00F21DE6" w:rsidRPr="0042384C">
        <w:rPr>
          <w:rFonts w:asciiTheme="majorHAnsi" w:hAnsiTheme="majorHAnsi"/>
        </w:rPr>
        <w:t xml:space="preserve"> ოპერაციების</w:t>
      </w:r>
      <w:r w:rsidRPr="0042384C">
        <w:rPr>
          <w:rFonts w:asciiTheme="majorHAnsi" w:hAnsiTheme="majorHAnsi"/>
        </w:rPr>
        <w:t xml:space="preserve"> იდენტიფიცირებასა და</w:t>
      </w:r>
      <w:r w:rsidR="00E95990">
        <w:rPr>
          <w:rFonts w:asciiTheme="majorHAnsi" w:hAnsiTheme="majorHAnsi"/>
        </w:rPr>
        <w:t>,</w:t>
      </w:r>
      <w:r w:rsidRPr="0042384C">
        <w:rPr>
          <w:rFonts w:asciiTheme="majorHAnsi" w:hAnsiTheme="majorHAnsi"/>
        </w:rPr>
        <w:t xml:space="preserve"> შესაბამისად, რისკების მართვაში. </w:t>
      </w:r>
      <w:r w:rsidR="000A3289" w:rsidRPr="0042384C">
        <w:rPr>
          <w:rFonts w:asciiTheme="majorHAnsi" w:hAnsiTheme="majorHAnsi"/>
        </w:rPr>
        <w:t xml:space="preserve">საქართველოს </w:t>
      </w:r>
      <w:r w:rsidRPr="0042384C">
        <w:rPr>
          <w:rFonts w:asciiTheme="majorHAnsi" w:hAnsiTheme="majorHAnsi"/>
        </w:rPr>
        <w:t xml:space="preserve">ეროვნული ბანკი, სექტორის ჩართულობით დამატებით განაგრძობს სხვა სახელმძღვანელოებზე მუშაობას. </w:t>
      </w:r>
    </w:p>
    <w:p w14:paraId="3E111F52" w14:textId="4E2CA7DA" w:rsidR="008D2CCE" w:rsidRPr="0042384C" w:rsidRDefault="00EB0602" w:rsidP="002E566C">
      <w:pPr>
        <w:spacing w:line="276" w:lineRule="auto"/>
        <w:jc w:val="both"/>
        <w:rPr>
          <w:rFonts w:asciiTheme="majorHAnsi" w:hAnsiTheme="majorHAnsi"/>
        </w:rPr>
      </w:pPr>
      <w:r w:rsidRPr="0042384C">
        <w:rPr>
          <w:rFonts w:asciiTheme="majorHAnsi" w:hAnsiTheme="majorHAnsi"/>
          <w:i/>
        </w:rPr>
        <w:t>დისტანციური ზედამხედველობის ჩარჩო და რისკების შეფასება</w:t>
      </w:r>
      <w:r w:rsidRPr="0042384C">
        <w:rPr>
          <w:rFonts w:asciiTheme="majorHAnsi" w:hAnsiTheme="majorHAnsi"/>
        </w:rPr>
        <w:t xml:space="preserve"> </w:t>
      </w:r>
      <w:r w:rsidR="00E95990">
        <w:rPr>
          <w:rFonts w:asciiTheme="majorHAnsi" w:hAnsiTheme="majorHAnsi" w:cs="Calibri"/>
        </w:rPr>
        <w:t>−</w:t>
      </w:r>
      <w:r w:rsidRPr="0042384C">
        <w:rPr>
          <w:rFonts w:asciiTheme="majorHAnsi" w:hAnsiTheme="majorHAnsi"/>
        </w:rPr>
        <w:t xml:space="preserve"> დისტანციური ზედამხედველობის </w:t>
      </w:r>
      <w:r w:rsidR="00F21DE6" w:rsidRPr="0042384C">
        <w:rPr>
          <w:rFonts w:asciiTheme="majorHAnsi" w:hAnsiTheme="majorHAnsi"/>
        </w:rPr>
        <w:t>ჩარჩო საქართველოს ეროვნულ ბანკს</w:t>
      </w:r>
      <w:r w:rsidRPr="0042384C">
        <w:rPr>
          <w:rFonts w:asciiTheme="majorHAnsi" w:hAnsiTheme="majorHAnsi"/>
        </w:rPr>
        <w:t xml:space="preserve"> საშუალებას აძლევს, შეაფასოს</w:t>
      </w:r>
      <w:r w:rsidR="000A3289" w:rsidRPr="0042384C">
        <w:rPr>
          <w:rFonts w:asciiTheme="majorHAnsi" w:hAnsiTheme="majorHAnsi"/>
        </w:rPr>
        <w:t xml:space="preserve"> არა მხოლოდ ინდივიდუალური VASP-</w:t>
      </w:r>
      <w:r w:rsidR="00F21DE6" w:rsidRPr="0042384C">
        <w:rPr>
          <w:rFonts w:asciiTheme="majorHAnsi" w:hAnsiTheme="majorHAnsi"/>
        </w:rPr>
        <w:t>ებ</w:t>
      </w:r>
      <w:r w:rsidR="00007995" w:rsidRPr="0042384C">
        <w:rPr>
          <w:rFonts w:asciiTheme="majorHAnsi" w:hAnsiTheme="majorHAnsi"/>
        </w:rPr>
        <w:t>ი</w:t>
      </w:r>
      <w:r w:rsidRPr="0042384C">
        <w:rPr>
          <w:rFonts w:asciiTheme="majorHAnsi" w:hAnsiTheme="majorHAnsi"/>
        </w:rPr>
        <w:t xml:space="preserve">ს, </w:t>
      </w:r>
      <w:r w:rsidR="00F21DE6" w:rsidRPr="0042384C">
        <w:rPr>
          <w:rFonts w:asciiTheme="majorHAnsi" w:hAnsiTheme="majorHAnsi"/>
        </w:rPr>
        <w:t>არამედ</w:t>
      </w:r>
      <w:r w:rsidRPr="0042384C">
        <w:rPr>
          <w:rFonts w:asciiTheme="majorHAnsi" w:hAnsiTheme="majorHAnsi"/>
        </w:rPr>
        <w:t xml:space="preserve"> მთლიანად სექტორის რისკები და </w:t>
      </w:r>
      <w:r w:rsidR="00F21DE6" w:rsidRPr="0042384C">
        <w:rPr>
          <w:rFonts w:asciiTheme="majorHAnsi" w:hAnsiTheme="majorHAnsi"/>
        </w:rPr>
        <w:t>გამოვლენილი</w:t>
      </w:r>
      <w:r w:rsidRPr="0042384C">
        <w:rPr>
          <w:rFonts w:asciiTheme="majorHAnsi" w:hAnsiTheme="majorHAnsi"/>
        </w:rPr>
        <w:t xml:space="preserve"> რისკების შესაბამისად </w:t>
      </w:r>
      <w:r w:rsidR="00F21DE6" w:rsidRPr="0042384C">
        <w:rPr>
          <w:rFonts w:asciiTheme="majorHAnsi" w:hAnsiTheme="majorHAnsi"/>
        </w:rPr>
        <w:t>გაატაროს საზედამხედველო ზომები, რაც</w:t>
      </w:r>
      <w:r w:rsidRPr="0042384C">
        <w:rPr>
          <w:rFonts w:asciiTheme="majorHAnsi" w:hAnsiTheme="majorHAnsi"/>
        </w:rPr>
        <w:t xml:space="preserve"> მოიცავს ადგილზე ინსპექტირებ</w:t>
      </w:r>
      <w:r w:rsidR="00F21DE6" w:rsidRPr="0042384C">
        <w:rPr>
          <w:rFonts w:asciiTheme="majorHAnsi" w:hAnsiTheme="majorHAnsi"/>
        </w:rPr>
        <w:t>ა</w:t>
      </w:r>
      <w:r w:rsidRPr="0042384C">
        <w:rPr>
          <w:rFonts w:asciiTheme="majorHAnsi" w:hAnsiTheme="majorHAnsi"/>
        </w:rPr>
        <w:t>ს, დამატებითი მოთხოვნების</w:t>
      </w:r>
      <w:r w:rsidR="00F21DE6" w:rsidRPr="0042384C">
        <w:rPr>
          <w:rFonts w:asciiTheme="majorHAnsi" w:hAnsiTheme="majorHAnsi"/>
        </w:rPr>
        <w:t xml:space="preserve">ა და </w:t>
      </w:r>
      <w:r w:rsidRPr="0042384C">
        <w:rPr>
          <w:rFonts w:asciiTheme="majorHAnsi" w:hAnsiTheme="majorHAnsi"/>
        </w:rPr>
        <w:t xml:space="preserve">შეზღუდვების განსაზღვრას. </w:t>
      </w:r>
      <w:r w:rsidR="00F21DE6" w:rsidRPr="0042384C">
        <w:rPr>
          <w:rFonts w:asciiTheme="majorHAnsi" w:hAnsiTheme="majorHAnsi"/>
        </w:rPr>
        <w:t>კერძოდ,</w:t>
      </w:r>
      <w:r w:rsidRPr="0042384C">
        <w:rPr>
          <w:rFonts w:asciiTheme="majorHAnsi" w:hAnsiTheme="majorHAnsi"/>
        </w:rPr>
        <w:t xml:space="preserve"> დისტანციური ზედამხედველობის ჩარჩო მოიცავს</w:t>
      </w:r>
      <w:r w:rsidR="00F21DE6" w:rsidRPr="0042384C">
        <w:rPr>
          <w:rFonts w:asciiTheme="majorHAnsi" w:hAnsiTheme="majorHAnsi"/>
        </w:rPr>
        <w:t xml:space="preserve">  </w:t>
      </w:r>
      <w:r w:rsidR="00007995" w:rsidRPr="0042384C">
        <w:rPr>
          <w:rFonts w:asciiTheme="majorHAnsi" w:hAnsiTheme="majorHAnsi"/>
        </w:rPr>
        <w:t xml:space="preserve">სპეციალური </w:t>
      </w:r>
      <w:r w:rsidRPr="0042384C">
        <w:rPr>
          <w:rFonts w:asciiTheme="majorHAnsi" w:hAnsiTheme="majorHAnsi"/>
        </w:rPr>
        <w:t>ანგარიშგებ</w:t>
      </w:r>
      <w:r w:rsidR="00007995" w:rsidRPr="0042384C">
        <w:rPr>
          <w:rFonts w:asciiTheme="majorHAnsi" w:hAnsiTheme="majorHAnsi"/>
        </w:rPr>
        <w:t>ებ</w:t>
      </w:r>
      <w:r w:rsidRPr="0042384C">
        <w:rPr>
          <w:rFonts w:asciiTheme="majorHAnsi" w:hAnsiTheme="majorHAnsi"/>
        </w:rPr>
        <w:t xml:space="preserve">ის </w:t>
      </w:r>
      <w:r w:rsidR="00714E25" w:rsidRPr="0042384C">
        <w:rPr>
          <w:rFonts w:asciiTheme="majorHAnsi" w:hAnsiTheme="majorHAnsi"/>
        </w:rPr>
        <w:t xml:space="preserve">სისტემატურად </w:t>
      </w:r>
      <w:r w:rsidR="00F21DE6" w:rsidRPr="0042384C">
        <w:rPr>
          <w:rFonts w:asciiTheme="majorHAnsi" w:hAnsiTheme="majorHAnsi"/>
        </w:rPr>
        <w:lastRenderedPageBreak/>
        <w:t xml:space="preserve">წარდგენას საქართველოს ეროვნულ ბანკში, </w:t>
      </w:r>
      <w:r w:rsidRPr="0042384C">
        <w:rPr>
          <w:rFonts w:asciiTheme="majorHAnsi" w:hAnsiTheme="majorHAnsi"/>
        </w:rPr>
        <w:t xml:space="preserve">რომელშიც </w:t>
      </w:r>
      <w:r w:rsidR="00714E25" w:rsidRPr="0042384C">
        <w:rPr>
          <w:rFonts w:asciiTheme="majorHAnsi" w:hAnsiTheme="majorHAnsi"/>
        </w:rPr>
        <w:t>მოცემულია</w:t>
      </w:r>
      <w:r w:rsidRPr="0042384C">
        <w:rPr>
          <w:rFonts w:asciiTheme="majorHAnsi" w:hAnsiTheme="majorHAnsi"/>
        </w:rPr>
        <w:t xml:space="preserve"> ინფორმაცია VASP-ის პროდუქტების, კლიენტების</w:t>
      </w:r>
      <w:r w:rsidR="00F21DE6" w:rsidRPr="0042384C">
        <w:rPr>
          <w:rFonts w:asciiTheme="majorHAnsi" w:hAnsiTheme="majorHAnsi"/>
        </w:rPr>
        <w:t xml:space="preserve"> და ოპერაციების</w:t>
      </w:r>
      <w:r w:rsidRPr="0042384C">
        <w:rPr>
          <w:rFonts w:asciiTheme="majorHAnsi" w:hAnsiTheme="majorHAnsi"/>
        </w:rPr>
        <w:t xml:space="preserve"> შესახებ</w:t>
      </w:r>
      <w:r w:rsidR="00F21DE6" w:rsidRPr="0042384C">
        <w:rPr>
          <w:rFonts w:asciiTheme="majorHAnsi" w:hAnsiTheme="majorHAnsi"/>
        </w:rPr>
        <w:t>.</w:t>
      </w:r>
    </w:p>
    <w:p w14:paraId="2EE6DEFF" w14:textId="2C28AC88" w:rsidR="008D2CCE" w:rsidRPr="0042384C" w:rsidRDefault="00E95990" w:rsidP="002E566C">
      <w:pPr>
        <w:spacing w:line="276" w:lineRule="auto"/>
        <w:jc w:val="both"/>
        <w:rPr>
          <w:rFonts w:asciiTheme="majorHAnsi" w:hAnsiTheme="majorHAnsi"/>
        </w:rPr>
      </w:pPr>
      <w:r>
        <w:rPr>
          <w:rFonts w:asciiTheme="majorHAnsi" w:hAnsiTheme="majorHAnsi"/>
        </w:rPr>
        <w:t>არსებული სიტუაცია</w:t>
      </w:r>
    </w:p>
    <w:p w14:paraId="3D13BDCF" w14:textId="2F6FA7D0" w:rsidR="008D2CCE" w:rsidRPr="0042384C" w:rsidRDefault="008D2CCE" w:rsidP="002E566C">
      <w:pPr>
        <w:spacing w:line="276" w:lineRule="auto"/>
        <w:jc w:val="both"/>
        <w:rPr>
          <w:rFonts w:asciiTheme="majorHAnsi" w:hAnsiTheme="majorHAnsi"/>
        </w:rPr>
      </w:pPr>
      <w:r w:rsidRPr="0042384C">
        <w:rPr>
          <w:rFonts w:asciiTheme="majorHAnsi" w:hAnsiTheme="majorHAnsi"/>
        </w:rPr>
        <w:t>2023 წელს VASP- ების მიერ საეჭვო ანგარიშგებები არ არის წარმოდგენილი</w:t>
      </w:r>
      <w:r w:rsidR="00E95990">
        <w:rPr>
          <w:rFonts w:asciiTheme="majorHAnsi" w:hAnsiTheme="majorHAnsi"/>
        </w:rPr>
        <w:t>,</w:t>
      </w:r>
      <w:r w:rsidRPr="0042384C">
        <w:rPr>
          <w:rFonts w:asciiTheme="majorHAnsi" w:hAnsiTheme="majorHAnsi"/>
        </w:rPr>
        <w:t xml:space="preserve"> ხოლო  2024 წელს ფინან</w:t>
      </w:r>
      <w:r w:rsidR="00F901C8" w:rsidRPr="0042384C">
        <w:rPr>
          <w:rFonts w:asciiTheme="majorHAnsi" w:hAnsiTheme="majorHAnsi"/>
        </w:rPr>
        <w:t>ს</w:t>
      </w:r>
      <w:r w:rsidRPr="0042384C">
        <w:rPr>
          <w:rFonts w:asciiTheme="majorHAnsi" w:hAnsiTheme="majorHAnsi"/>
        </w:rPr>
        <w:t xml:space="preserve">ური მონიტორინგის სამსახურში მოწოდებულია 16 საეჭვო ანგარიშგება. </w:t>
      </w:r>
    </w:p>
    <w:p w14:paraId="39657F33" w14:textId="27946C3F" w:rsidR="008D2CCE" w:rsidRPr="0042384C" w:rsidRDefault="008D2CCE" w:rsidP="002E566C">
      <w:pPr>
        <w:spacing w:line="276" w:lineRule="auto"/>
        <w:jc w:val="both"/>
        <w:rPr>
          <w:rFonts w:asciiTheme="majorHAnsi" w:hAnsiTheme="majorHAnsi"/>
        </w:rPr>
      </w:pPr>
      <w:r w:rsidRPr="0042384C">
        <w:rPr>
          <w:rFonts w:asciiTheme="majorHAnsi" w:hAnsiTheme="majorHAnsi"/>
        </w:rPr>
        <w:t>ვირტუალური აქტივის მომსახურების პროვაიდერების მიერ გამოგზავნილი 16 საეჭვო ანგარიშგებიდან 14 ეხება ნარკოტიკული ნივთიერებების სავარაუდო შესყიდვას პირადი მოხმარებისა და</w:t>
      </w:r>
      <w:r w:rsidR="00E95990">
        <w:rPr>
          <w:rFonts w:asciiTheme="majorHAnsi" w:hAnsiTheme="majorHAnsi"/>
        </w:rPr>
        <w:t>,</w:t>
      </w:r>
      <w:r w:rsidRPr="0042384C">
        <w:rPr>
          <w:rFonts w:asciiTheme="majorHAnsi" w:hAnsiTheme="majorHAnsi"/>
        </w:rPr>
        <w:t xml:space="preserve"> შესაძლოა, უკანონო ვაჭრობისთვის. ფიგურანტები ახდენენ მცირე ოდენობის კრიპტოვალუტის (ძირითადად, ლაითკოინი) გა</w:t>
      </w:r>
      <w:r w:rsidR="00E95990">
        <w:rPr>
          <w:rFonts w:asciiTheme="majorHAnsi" w:hAnsiTheme="majorHAnsi"/>
        </w:rPr>
        <w:t>დარიცხვებს სხვადასხვა მისამართ</w:t>
      </w:r>
      <w:r w:rsidRPr="0042384C">
        <w:rPr>
          <w:rFonts w:asciiTheme="majorHAnsi" w:hAnsiTheme="majorHAnsi"/>
        </w:rPr>
        <w:t xml:space="preserve">ზე, რომლებიც ანალიტიკური ინსტრუმენტების მიერ მონიშნულია მაღალრისკიანად </w:t>
      </w:r>
      <w:r w:rsidR="0057512E" w:rsidRPr="0042384C">
        <w:rPr>
          <w:rFonts w:asciiTheme="majorHAnsi" w:hAnsiTheme="majorHAnsi"/>
        </w:rPr>
        <w:t>„</w:t>
      </w:r>
      <w:r w:rsidRPr="0042384C">
        <w:rPr>
          <w:rFonts w:asciiTheme="majorHAnsi" w:hAnsiTheme="majorHAnsi"/>
        </w:rPr>
        <w:t>დარკნეტთან</w:t>
      </w:r>
      <w:r w:rsidR="0057512E" w:rsidRPr="0042384C">
        <w:rPr>
          <w:rFonts w:asciiTheme="majorHAnsi" w:hAnsiTheme="majorHAnsi"/>
        </w:rPr>
        <w:t>“</w:t>
      </w:r>
      <w:r w:rsidRPr="0042384C">
        <w:rPr>
          <w:rFonts w:asciiTheme="majorHAnsi" w:hAnsiTheme="majorHAnsi"/>
        </w:rPr>
        <w:t xml:space="preserve"> და სხვადასხვა კო</w:t>
      </w:r>
      <w:r w:rsidR="00E95990">
        <w:rPr>
          <w:rFonts w:asciiTheme="majorHAnsi" w:hAnsiTheme="majorHAnsi"/>
        </w:rPr>
        <w:t>მპრომეტირებულ სავაჭრო პლატფორმას</w:t>
      </w:r>
      <w:r w:rsidRPr="0042384C">
        <w:rPr>
          <w:rFonts w:asciiTheme="majorHAnsi" w:hAnsiTheme="majorHAnsi"/>
        </w:rPr>
        <w:t>თან ტრან</w:t>
      </w:r>
      <w:r w:rsidR="0057512E" w:rsidRPr="0042384C">
        <w:rPr>
          <w:rFonts w:asciiTheme="majorHAnsi" w:hAnsiTheme="majorHAnsi"/>
        </w:rPr>
        <w:t>ზ</w:t>
      </w:r>
      <w:r w:rsidRPr="0042384C">
        <w:rPr>
          <w:rFonts w:asciiTheme="majorHAnsi" w:hAnsiTheme="majorHAnsi"/>
        </w:rPr>
        <w:t>აქციების გამო.</w:t>
      </w:r>
    </w:p>
    <w:p w14:paraId="578302CB" w14:textId="1B2ADDDD" w:rsidR="00A868F8" w:rsidRPr="0042384C" w:rsidRDefault="008D2CCE" w:rsidP="002E566C">
      <w:pPr>
        <w:spacing w:line="276" w:lineRule="auto"/>
        <w:jc w:val="both"/>
        <w:rPr>
          <w:rFonts w:asciiTheme="majorHAnsi" w:hAnsiTheme="majorHAnsi"/>
        </w:rPr>
      </w:pPr>
      <w:r w:rsidRPr="0042384C">
        <w:rPr>
          <w:rFonts w:asciiTheme="majorHAnsi" w:hAnsiTheme="majorHAnsi"/>
        </w:rPr>
        <w:t>ნარკოვაჭრობა ხორციელდება როგორც „სპეციალიზებულ“ პლატფორმებზე, ისე ტელეგრამ-არხებში. ფიგურანტების ასაკი მერყეობს 20-28 წელს შორის. ზოგი მათგანი ნასამართლევია სხვადასხვა (არა</w:t>
      </w:r>
      <w:r w:rsidR="00E95990">
        <w:rPr>
          <w:rFonts w:asciiTheme="majorHAnsi" w:hAnsiTheme="majorHAnsi"/>
        </w:rPr>
        <w:t xml:space="preserve"> </w:t>
      </w:r>
      <w:r w:rsidR="00E95990">
        <w:rPr>
          <w:rFonts w:asciiTheme="majorHAnsi" w:hAnsiTheme="majorHAnsi" w:cs="Calibri"/>
        </w:rPr>
        <w:t>−</w:t>
      </w:r>
      <w:r w:rsidR="00E95990">
        <w:rPr>
          <w:rFonts w:asciiTheme="majorHAnsi" w:hAnsiTheme="majorHAnsi" w:cs="Calibri"/>
        </w:rPr>
        <w:t xml:space="preserve"> </w:t>
      </w:r>
      <w:r w:rsidRPr="0042384C">
        <w:rPr>
          <w:rFonts w:asciiTheme="majorHAnsi" w:hAnsiTheme="majorHAnsi"/>
        </w:rPr>
        <w:t>ნარკოტიკული) დანაშაულისთვის</w:t>
      </w:r>
      <w:r w:rsidR="00F901C8" w:rsidRPr="0042384C">
        <w:rPr>
          <w:rFonts w:asciiTheme="majorHAnsi" w:hAnsiTheme="majorHAnsi"/>
        </w:rPr>
        <w:t>.</w:t>
      </w:r>
      <w:r w:rsidRPr="0042384C">
        <w:rPr>
          <w:rFonts w:asciiTheme="majorHAnsi" w:hAnsiTheme="majorHAnsi"/>
        </w:rPr>
        <w:t xml:space="preserve"> </w:t>
      </w:r>
    </w:p>
    <w:p w14:paraId="3D700303" w14:textId="0B829553" w:rsidR="00F21DE6" w:rsidRPr="0042384C" w:rsidRDefault="008D2CCE" w:rsidP="002E566C">
      <w:pPr>
        <w:spacing w:line="276" w:lineRule="auto"/>
        <w:jc w:val="both"/>
        <w:rPr>
          <w:rFonts w:asciiTheme="majorHAnsi" w:hAnsiTheme="majorHAnsi"/>
        </w:rPr>
      </w:pPr>
      <w:r w:rsidRPr="0042384C">
        <w:rPr>
          <w:rFonts w:asciiTheme="majorHAnsi" w:hAnsiTheme="majorHAnsi"/>
        </w:rPr>
        <w:t xml:space="preserve">ასევე საეჭვო ანგარიშგების გამოგზავნის მიზეზი იყო კავშირი არარეზიდენტი პირის მიერ დისტანციურად შუა აზიის ქვეყნიდან ანგარიშის გახსნასთან, რასაც მოჰყვა ანგარიშზე  წვდომის განხორციელება 3 სხვადასხვა ქვეყნის აიპი-მისამართებიდან. ამან გააჩინა საფუძვლიანი ეჭვი, რომ ანგარიშს იყენებდა სხვა პირი ან პირთა ჯგუფი. </w:t>
      </w:r>
    </w:p>
    <w:p w14:paraId="3C27BC85" w14:textId="426D6668" w:rsidR="00040735" w:rsidRPr="0042384C" w:rsidRDefault="00EB0602" w:rsidP="003F7CDA">
      <w:pPr>
        <w:spacing w:line="276" w:lineRule="auto"/>
        <w:jc w:val="both"/>
        <w:rPr>
          <w:rFonts w:asciiTheme="majorHAnsi" w:hAnsiTheme="majorHAnsi"/>
        </w:rPr>
      </w:pPr>
      <w:r w:rsidRPr="0042384C">
        <w:rPr>
          <w:rFonts w:asciiTheme="majorHAnsi" w:hAnsiTheme="majorHAnsi"/>
        </w:rPr>
        <w:t xml:space="preserve">შესაძლებლობებისა და რესურსების განვითარება </w:t>
      </w:r>
      <w:r w:rsidR="00E95990">
        <w:rPr>
          <w:rFonts w:asciiTheme="majorHAnsi" w:hAnsiTheme="majorHAnsi" w:cs="Calibri"/>
        </w:rPr>
        <w:t>−</w:t>
      </w:r>
      <w:r w:rsidRPr="0042384C">
        <w:rPr>
          <w:rFonts w:asciiTheme="majorHAnsi" w:hAnsiTheme="majorHAnsi"/>
        </w:rPr>
        <w:t xml:space="preserve"> ვირტუალური აქტივისა და ვირტუალური აქტივის მომსახურებასთან დაკავშირებული რისკებისა და შესაბამისი კონტროლების შესახებ ცნობიერები</w:t>
      </w:r>
      <w:r w:rsidR="00E95990">
        <w:rPr>
          <w:rFonts w:asciiTheme="majorHAnsi" w:hAnsiTheme="majorHAnsi"/>
        </w:rPr>
        <w:t>ს ამაღლების მიზნით, ჩატარდა ტრე</w:t>
      </w:r>
      <w:r w:rsidRPr="0042384C">
        <w:rPr>
          <w:rFonts w:asciiTheme="majorHAnsi" w:hAnsiTheme="majorHAnsi"/>
        </w:rPr>
        <w:t>ნინგები</w:t>
      </w:r>
      <w:r w:rsidR="00714E25" w:rsidRPr="0042384C">
        <w:rPr>
          <w:rFonts w:asciiTheme="majorHAnsi" w:hAnsiTheme="majorHAnsi"/>
        </w:rPr>
        <w:t xml:space="preserve"> და </w:t>
      </w:r>
      <w:r w:rsidR="00E95990">
        <w:rPr>
          <w:rFonts w:asciiTheme="majorHAnsi" w:hAnsiTheme="majorHAnsi"/>
        </w:rPr>
        <w:t>ვორქშოფები</w:t>
      </w:r>
      <w:r w:rsidRPr="0042384C">
        <w:rPr>
          <w:rFonts w:asciiTheme="majorHAnsi" w:hAnsiTheme="majorHAnsi"/>
        </w:rPr>
        <w:t xml:space="preserve"> როგორც ვირტუალური აქტივის მომსახურების პროვაიდერებისთვის, </w:t>
      </w:r>
      <w:r w:rsidR="00714E25" w:rsidRPr="0042384C">
        <w:rPr>
          <w:rFonts w:asciiTheme="majorHAnsi" w:hAnsiTheme="majorHAnsi"/>
        </w:rPr>
        <w:t>ისე</w:t>
      </w:r>
      <w:r w:rsidRPr="0042384C">
        <w:rPr>
          <w:rFonts w:asciiTheme="majorHAnsi" w:hAnsiTheme="majorHAnsi"/>
        </w:rPr>
        <w:t xml:space="preserve"> ფინანსური ინსტიტუტებისთვის, რომლებიც VASP-</w:t>
      </w:r>
      <w:r w:rsidR="00714E25" w:rsidRPr="0042384C">
        <w:rPr>
          <w:rFonts w:asciiTheme="majorHAnsi" w:hAnsiTheme="majorHAnsi"/>
        </w:rPr>
        <w:t>ებ</w:t>
      </w:r>
      <w:r w:rsidRPr="0042384C">
        <w:rPr>
          <w:rFonts w:asciiTheme="majorHAnsi" w:hAnsiTheme="majorHAnsi"/>
        </w:rPr>
        <w:t xml:space="preserve">ს </w:t>
      </w:r>
      <w:r w:rsidR="00714E25" w:rsidRPr="0042384C">
        <w:rPr>
          <w:rFonts w:asciiTheme="majorHAnsi" w:hAnsiTheme="majorHAnsi"/>
        </w:rPr>
        <w:t xml:space="preserve">უწევენ </w:t>
      </w:r>
      <w:r w:rsidRPr="0042384C">
        <w:rPr>
          <w:rFonts w:asciiTheme="majorHAnsi" w:hAnsiTheme="majorHAnsi"/>
        </w:rPr>
        <w:t xml:space="preserve">მომსახურებას. </w:t>
      </w:r>
    </w:p>
    <w:p w14:paraId="414664F8" w14:textId="7DE37248" w:rsidR="00040735" w:rsidRPr="0042384C" w:rsidRDefault="00040735" w:rsidP="00040735">
      <w:pPr>
        <w:autoSpaceDE w:val="0"/>
        <w:autoSpaceDN w:val="0"/>
        <w:spacing w:line="276" w:lineRule="auto"/>
        <w:jc w:val="both"/>
        <w:rPr>
          <w:rFonts w:asciiTheme="majorHAnsi" w:hAnsiTheme="majorHAnsi" w:cs="Calibri"/>
          <w:lang w:eastAsia="en-US"/>
        </w:rPr>
      </w:pPr>
      <w:r w:rsidRPr="0042384C">
        <w:rPr>
          <w:rFonts w:asciiTheme="majorHAnsi" w:hAnsiTheme="majorHAnsi" w:cs="Calibri"/>
        </w:rPr>
        <w:t xml:space="preserve">ვირტუალური აქტივის სექტორი მზარდია როგორც გლობალურად, ასევე საქართველოში. თუმცა, სხვა ქვეყნებთან შედარებით, საქართველოს ვირტუალური აქტივების ეკოსისტემა მაინც მცირეა ტრანზაქციების მოცულობისა და მომხმარებლის ბაზის გათვალისწინებით. </w:t>
      </w:r>
    </w:p>
    <w:p w14:paraId="30B35A3F" w14:textId="79FE6C9C" w:rsidR="00EB0602" w:rsidRPr="0042384C" w:rsidRDefault="00040735" w:rsidP="003F7CDA">
      <w:pPr>
        <w:autoSpaceDE w:val="0"/>
        <w:autoSpaceDN w:val="0"/>
        <w:spacing w:line="276" w:lineRule="auto"/>
        <w:jc w:val="both"/>
        <w:rPr>
          <w:rFonts w:asciiTheme="majorHAnsi" w:hAnsiTheme="majorHAnsi" w:cs="Calibri"/>
        </w:rPr>
      </w:pPr>
      <w:r w:rsidRPr="0042384C">
        <w:rPr>
          <w:rFonts w:asciiTheme="majorHAnsi" w:hAnsiTheme="majorHAnsi" w:cs="Calibri"/>
        </w:rPr>
        <w:t>ამასთანავე, გამოწვევად რჩება როგორც გლობალური, ასევე ადგილობრივი გარემოებები. მათ შორის, ვირტუალური აქტივის ბუნება, საერთაშორისო დონეზე არაერთგვაროვანი რეგულირება, ე.წ. „travel rule“-ის დანერგვისთვის უნიკალური გადაწყვეტის არარსებობა, ბაზრის სწრაფი ცვალებადობა, რესურსებისა და შესაძლებლობების ნაკლებობა. ასევე, მიუხედავად იმისა, რომ შეიქმნა რეგულირების/ზედამხედველობის ჩარჩო, ამასთან</w:t>
      </w:r>
      <w:r w:rsidR="00E95990">
        <w:rPr>
          <w:rFonts w:asciiTheme="majorHAnsi" w:hAnsiTheme="majorHAnsi" w:cs="Calibri"/>
        </w:rPr>
        <w:t>,</w:t>
      </w:r>
      <w:r w:rsidRPr="0042384C">
        <w:rPr>
          <w:rFonts w:asciiTheme="majorHAnsi" w:hAnsiTheme="majorHAnsi" w:cs="Calibri"/>
        </w:rPr>
        <w:t xml:space="preserve"> რეგისტრირებულ VASP-ებს </w:t>
      </w:r>
      <w:r w:rsidRPr="0042384C">
        <w:rPr>
          <w:rFonts w:asciiTheme="majorHAnsi" w:hAnsiTheme="majorHAnsi" w:cs="Calibri"/>
        </w:rPr>
        <w:lastRenderedPageBreak/>
        <w:t>უკვე დანერგილი აქვთ AML/CFT კონტროლის მექანიზმები, მოცემულ ეტაპზე მათი ეფექტიანობის შეფასება არ განხორციელებულა.</w:t>
      </w:r>
    </w:p>
    <w:p w14:paraId="2E0DD572" w14:textId="77CDF7E6" w:rsidR="008A66BB" w:rsidRPr="0042384C" w:rsidRDefault="008A66BB" w:rsidP="003F7CDA">
      <w:pPr>
        <w:ind w:firstLine="360"/>
        <w:rPr>
          <w:rFonts w:asciiTheme="majorHAnsi" w:hAnsiTheme="majorHAnsi" w:cs="Calibri"/>
          <w:b/>
        </w:rPr>
      </w:pPr>
      <w:r w:rsidRPr="0042384C">
        <w:rPr>
          <w:rFonts w:asciiTheme="majorHAnsi" w:hAnsiTheme="majorHAnsi" w:cs="Calibri"/>
          <w:b/>
        </w:rPr>
        <w:t>4. ტერორიზმის დაფინანსება</w:t>
      </w:r>
    </w:p>
    <w:p w14:paraId="7C178300" w14:textId="6ED97D05" w:rsidR="008A66BB" w:rsidRPr="0042384C" w:rsidRDefault="00027AA5" w:rsidP="003F7CDA">
      <w:pPr>
        <w:ind w:firstLine="360"/>
        <w:jc w:val="both"/>
        <w:rPr>
          <w:rFonts w:asciiTheme="majorHAnsi" w:hAnsiTheme="majorHAnsi" w:cs="Calibri"/>
        </w:rPr>
      </w:pPr>
      <w:r w:rsidRPr="0042384C">
        <w:rPr>
          <w:rFonts w:asciiTheme="majorHAnsi" w:hAnsiTheme="majorHAnsi" w:cs="Calibri"/>
        </w:rPr>
        <w:t xml:space="preserve">4.1 </w:t>
      </w:r>
      <w:r w:rsidR="008A66BB" w:rsidRPr="0042384C">
        <w:rPr>
          <w:rFonts w:asciiTheme="majorHAnsi" w:hAnsiTheme="majorHAnsi" w:cs="Calibri"/>
        </w:rPr>
        <w:t>ნაღდი ფული</w:t>
      </w:r>
    </w:p>
    <w:p w14:paraId="649E5030" w14:textId="52CFC238"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 xml:space="preserve">ტერორისტული დაჯგუფებების თუ ინდივიდუალურად მოქმედი ტერორისტების მიერ აუცილებელი ფინანსური რესურსის მობილიზების ერთ-ერთ ყველაზე გავრცელებულ მეთოდს ნაღდი ფულის გამოყენება წარმოადგენს. აღნიშნული გზით ტერორიზმის დაფინანსება ტერორისტული ორგანიზაციების მიერ მრავალი წლის განმავლობაში გამოცდილი მეთოდია. ამ მიმართულებით, ისევე როგორც მთელ ცივილიზებულ  სამყაროში, რისკები არსებობს საქართველოშიც. </w:t>
      </w:r>
    </w:p>
    <w:p w14:paraId="0157AB2D" w14:textId="41863026"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აღსანიშნავია, რომ ნაღდი ფულის გამოყენება ტერორისტებისთვის ხელსაყრელია, მათ შორის, ანონიმურობის დაცვის შესაძლებლობის გამო. ნაღდი ფულის გამოყენებით ტერორიზმის დაფინანსების რისკთან დაკავშირებით, გამოწვევას წარმოადგენს ის ფაქტორი, რომ ფიზიკური პირების მიერ ნაღდი ფულის გადატანის დროს, მისი მიმღები საბოლოო ადრესატის ვინაობა ხშირ შემთხვევაში დაფარულია და ფულადი რესურსის ტერორისტული აქტივობის დასაფინანსებლად შესაძლო გამოყენების გამოვლენა რთულდება.</w:t>
      </w:r>
    </w:p>
    <w:p w14:paraId="326405D1" w14:textId="02F135E8" w:rsidR="008A66BB" w:rsidRPr="0042384C" w:rsidRDefault="008A66BB" w:rsidP="003F7CDA">
      <w:pPr>
        <w:autoSpaceDE w:val="0"/>
        <w:autoSpaceDN w:val="0"/>
        <w:spacing w:line="276" w:lineRule="auto"/>
        <w:jc w:val="both"/>
        <w:rPr>
          <w:rFonts w:asciiTheme="majorHAnsi" w:hAnsiTheme="majorHAnsi" w:cs="Calibri"/>
        </w:rPr>
      </w:pPr>
      <w:r w:rsidRPr="0042384C">
        <w:rPr>
          <w:rFonts w:asciiTheme="majorHAnsi" w:hAnsiTheme="majorHAnsi" w:cs="Calibri"/>
        </w:rPr>
        <w:t>ნაღდი ფულის გამოყენებით ტერორიზმის დაფინანსების მიმართულებით, მნიშვნელოვან გამოწვევას დაუდეკლარირებელი თანხების საზღვარზე გადაადგილება წარმოადგენს.  ამ კონტექსტში დეკლარირებას დაქვემდებარებულ ზღვრულ ოდენობაზე ნაკლები რაოდენობის ფულის საზღვარზე დანაშაულებრივი მიზნით შესაძლო გადაადგილების საფრთხის გამორიცხვაც შეუძლებელია.</w:t>
      </w:r>
    </w:p>
    <w:p w14:paraId="27995D70" w14:textId="7398F30A" w:rsidR="008A66BB" w:rsidRPr="0042384C" w:rsidRDefault="00027AA5" w:rsidP="003F7CDA">
      <w:pPr>
        <w:ind w:firstLine="360"/>
        <w:jc w:val="both"/>
        <w:rPr>
          <w:rFonts w:asciiTheme="majorHAnsi" w:hAnsiTheme="majorHAnsi" w:cs="Calibri"/>
        </w:rPr>
      </w:pPr>
      <w:r w:rsidRPr="0042384C">
        <w:rPr>
          <w:rFonts w:asciiTheme="majorHAnsi" w:hAnsiTheme="majorHAnsi" w:cs="Calibri"/>
        </w:rPr>
        <w:t>4.2</w:t>
      </w:r>
      <w:r w:rsidR="008A66BB" w:rsidRPr="0042384C">
        <w:rPr>
          <w:rFonts w:asciiTheme="majorHAnsi" w:hAnsiTheme="majorHAnsi" w:cs="Calibri"/>
        </w:rPr>
        <w:t xml:space="preserve"> რისკ</w:t>
      </w:r>
      <w:r w:rsidR="00A7276C" w:rsidRPr="0042384C">
        <w:rPr>
          <w:rFonts w:asciiTheme="majorHAnsi" w:hAnsiTheme="majorHAnsi" w:cs="Calibri"/>
        </w:rPr>
        <w:t>ებ</w:t>
      </w:r>
      <w:r w:rsidR="008A66BB" w:rsidRPr="0042384C">
        <w:rPr>
          <w:rFonts w:asciiTheme="majorHAnsi" w:hAnsiTheme="majorHAnsi" w:cs="Calibri"/>
        </w:rPr>
        <w:t>ის შემცირება</w:t>
      </w:r>
    </w:p>
    <w:p w14:paraId="0E04173A" w14:textId="0F7E6BE0"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 xml:space="preserve">აღნიშნული მიმართულებით რისკების შემცირების მიზნით, საქართველოს კანონმდებლობით გათვალისწინებულია არაერთი პრევენციული და კონტროლის ეფექტური მექანიზმი, რასაც სათანადოდ ახორციელებენ შესაბამისი საფინანსო ინსტიტუტები, მონიტორინგის განმახორციელებელი  და სხვა ორგანოები. </w:t>
      </w:r>
    </w:p>
    <w:p w14:paraId="5117EB31" w14:textId="0D94AC9D"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 xml:space="preserve">მნიშვნელოვანია საზღვარზე ნაღდი ფულის გადაადგილების კონტროლი. დეკლარირებას ექვემდებარება საქართველოს საბაჟო საზღვარზე 30,000 ლარზე (ან მისი ეკვივალენტი სხვა ვალუტაში) მეტი ნაღდი ფულის გადატანა. ამასთან, დეკლარირების წესი ვრცელდება კომპანიებზე და საფოსტო გზავნილით ნაღდი ფულის გადატანაზე. აღსანიშნავია, რომ დეკლარაციაში, გარდა ფულადი ოდენობისა, აგრეთვე მიეთითება თანხის წარმომავლობა, მიზნობრიობა, გამგზავნი/მიმღები პირები. დეკლარაციაში ასევე უნდა მიეთითოს საზღვარზე ნაღდი ფულის გადამტანი პირის საქმიანობის დეტალური აღწერა, ხოლო სხვა ქვეყნის მოქალაქის შემთხვევაში </w:t>
      </w:r>
      <w:r w:rsidR="00E95990">
        <w:rPr>
          <w:rFonts w:asciiTheme="majorHAnsi" w:hAnsiTheme="majorHAnsi" w:cs="Calibri"/>
        </w:rPr>
        <w:t>−</w:t>
      </w:r>
      <w:r w:rsidRPr="0042384C">
        <w:rPr>
          <w:rFonts w:asciiTheme="majorHAnsi" w:hAnsiTheme="majorHAnsi" w:cs="Calibri"/>
        </w:rPr>
        <w:t xml:space="preserve"> საქართველოში ყოფნის დაგეგმილი ხანგრძლივობა და საცხოვრებელი მისამართი. შემოსავლების სამსახური რისკების მართვის ავტომატიზებული სისტემის მეშვეობით ახდენს საბაჟო კონტროლის </w:t>
      </w:r>
      <w:r w:rsidRPr="0042384C">
        <w:rPr>
          <w:rFonts w:asciiTheme="majorHAnsi" w:hAnsiTheme="majorHAnsi" w:cs="Calibri"/>
        </w:rPr>
        <w:lastRenderedPageBreak/>
        <w:t xml:space="preserve">გვერდის ავლით ან მალულად ნაღდი ფულის საზღვარზე გადატანის ფაქტების გამოვლენას. ასეთი ფაქტების შესახებ ეცნობება ფმს-ს, რომელიც თავის მხრივ, მასალების შესწავლის შედეგად  დანაშაულის შესაძლო ნიშნების არსებობის შემთხვევაში, ინფორმაციას უგზავნის შესაბამის სამართალდამცავ უწყებებს. საქართველოს საბაჟო საზღვარზე, ტერორიზმის დაფინანსების მიზნით, ნაღდი ფულის გადაადგილების ფაქტები არ გამოვლენილა. </w:t>
      </w:r>
    </w:p>
    <w:p w14:paraId="18E56251" w14:textId="6CA39772"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ამასთან,  სწრაფი გადახდის აპარატებით მომსახურებაში დანერგილია კონტროლის ადეკვატური მექანიზმები და ნაღდი ფულით ოპერაციების შესრულება მხოლოდ გადამხდელის იდენტიფიკაციისა (ოპერაციის თანხის ოდენობის მიუხედავად) და ერთჯერადი ოპერაციებისთვის აუცილებელი სხვა პრევენციული ღონისძიებების განხორციელების შემთხვევაშია ნებადართული</w:t>
      </w:r>
      <w:r w:rsidR="000A3289" w:rsidRPr="0042384C">
        <w:rPr>
          <w:rFonts w:asciiTheme="majorHAnsi" w:hAnsiTheme="majorHAnsi" w:cs="Calibri"/>
        </w:rPr>
        <w:t>.</w:t>
      </w:r>
      <w:r w:rsidRPr="0042384C">
        <w:rPr>
          <w:rFonts w:asciiTheme="majorHAnsi" w:hAnsiTheme="majorHAnsi" w:cs="Calibri"/>
        </w:rPr>
        <w:t xml:space="preserve"> </w:t>
      </w:r>
    </w:p>
    <w:p w14:paraId="257E8A53" w14:textId="25AFCB15"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 xml:space="preserve">ფინანსურ ინსტიტუტებს სისტემატურად მიეწოდებათ ინფორმაცია ტერორიზმის დაფინანსების ინდიკატორებზე და ტერორიზმის საფრთხეების გათვალისწინებით,  აქცენტი კეთდება კონფლიქტის ზონის (სადაც ტერორისტული ჯგუფები მოქმედებენ) მიმდებარე რეგიონებზე. </w:t>
      </w:r>
    </w:p>
    <w:p w14:paraId="05E7E749" w14:textId="21131CC8" w:rsidR="008A66BB" w:rsidRPr="0042384C" w:rsidRDefault="008A66BB" w:rsidP="003F7CDA">
      <w:pPr>
        <w:autoSpaceDE w:val="0"/>
        <w:autoSpaceDN w:val="0"/>
        <w:spacing w:line="276" w:lineRule="auto"/>
        <w:jc w:val="both"/>
        <w:rPr>
          <w:rFonts w:asciiTheme="majorHAnsi" w:hAnsiTheme="majorHAnsi" w:cs="Calibri"/>
        </w:rPr>
      </w:pPr>
      <w:r w:rsidRPr="0042384C">
        <w:rPr>
          <w:rFonts w:asciiTheme="majorHAnsi" w:hAnsiTheme="majorHAnsi" w:cs="Calibri"/>
        </w:rPr>
        <w:t>საანგარიშო პერიოდში საქართველოში ნაღდი ფულის გამოყენებით ტერორიზმის დაფინანსების ფაქტები არ დაფიქსირებულა</w:t>
      </w:r>
      <w:r w:rsidR="009E1AB5" w:rsidRPr="0042384C">
        <w:rPr>
          <w:rFonts w:asciiTheme="majorHAnsi" w:hAnsiTheme="majorHAnsi" w:cs="Calibri"/>
        </w:rPr>
        <w:t>.</w:t>
      </w:r>
    </w:p>
    <w:p w14:paraId="03FA0E38" w14:textId="1272509A" w:rsidR="008A66BB" w:rsidRPr="0042384C" w:rsidRDefault="008A66BB" w:rsidP="008A66BB">
      <w:pPr>
        <w:ind w:firstLine="360"/>
        <w:jc w:val="both"/>
        <w:rPr>
          <w:rFonts w:asciiTheme="majorHAnsi" w:hAnsiTheme="majorHAnsi" w:cs="Calibri"/>
        </w:rPr>
      </w:pPr>
      <w:r w:rsidRPr="0042384C">
        <w:rPr>
          <w:rFonts w:asciiTheme="majorHAnsi" w:hAnsiTheme="majorHAnsi" w:cs="Calibri"/>
        </w:rPr>
        <w:t>4.</w:t>
      </w:r>
      <w:r w:rsidR="00027AA5" w:rsidRPr="0042384C">
        <w:rPr>
          <w:rFonts w:asciiTheme="majorHAnsi" w:hAnsiTheme="majorHAnsi" w:cs="Calibri"/>
        </w:rPr>
        <w:t>3</w:t>
      </w:r>
      <w:r w:rsidRPr="0042384C">
        <w:rPr>
          <w:rFonts w:asciiTheme="majorHAnsi" w:hAnsiTheme="majorHAnsi" w:cs="Calibri"/>
        </w:rPr>
        <w:t xml:space="preserve"> ტერორიზმის დაფინანსების სხვა საფრთხეები </w:t>
      </w:r>
    </w:p>
    <w:p w14:paraId="280D849F" w14:textId="497C22DB" w:rsidR="008A66BB" w:rsidRPr="0042384C" w:rsidRDefault="008A66BB" w:rsidP="003F7CDA">
      <w:pPr>
        <w:ind w:firstLine="360"/>
        <w:jc w:val="both"/>
        <w:rPr>
          <w:rFonts w:asciiTheme="majorHAnsi" w:hAnsiTheme="majorHAnsi" w:cs="Calibri"/>
        </w:rPr>
      </w:pPr>
      <w:r w:rsidRPr="0042384C">
        <w:rPr>
          <w:rFonts w:asciiTheme="majorHAnsi" w:hAnsiTheme="majorHAnsi" w:cs="Calibri"/>
        </w:rPr>
        <w:t>(ნარკოტიკებით ვაჭრობა, მიგრანტების გადაყვანა/შემოყვანა, იარაღით ვაჭრობა)</w:t>
      </w:r>
    </w:p>
    <w:p w14:paraId="29A58E4F" w14:textId="77777777"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 xml:space="preserve">ტერორისტული დაჯგუფებები, ხშირ შემთხვევაში, ტერორიზმის გარდა, სხვადასხვა დანაშაულებრივ საქმიანობაში არიან ჩართული. ტერორიზმის დაფინანსების ერთ-ერთ მთავარ წყაროს უკანონო საქმიანობით, მათ შორის, ნარკოტიკებით და იარაღით ვაჭრობით, მიგრანტების არალეგალური გადაყვანით მიღებული შემოსავალი წარმოადგენს. ტერორისტული დაჯგუფებები ხსენებულ დანაშაულში თავადვე არიან ჩართული, ან ისინი ორგანიზებულ დანაშაულებრივ ჯგუფებთან „თანამშრომლობენ“, რომელთა კრიმინალური ქმედებების შედეგად მიღებული შემოსავლიდან ტერორისტული აქტივობები ფინანსდება. </w:t>
      </w:r>
    </w:p>
    <w:p w14:paraId="6555075B" w14:textId="783B6500"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 xml:space="preserve">აღსანიშნავია, რომ ნარკოტიკებით და იარაღით ვაჭრობის შემთხვევაში, დანაშაულის გამოვლენისა და პირთა იდენტიფიცირების მიმართულებით, ერთ-ერთ გამოწვევას დამნაშავეების მიერ, ანონიმურობის შენარჩუნების მიზნით, ონლაინსივრცეში არსებულ ე.წ. შავ ბაზარზე ვაჭრობა და უნაღდო/ციფრული ანგარიშსწორების მეთოდის გამოყენება წარმოადგენს. </w:t>
      </w:r>
    </w:p>
    <w:p w14:paraId="750C2738" w14:textId="16AB47A3"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ტერორისტული აქტივობების დასაფინანსებლად ფულადი რესურსის მოსაზიდად, ტერორისტული ორგანიზაციები ასევე ახორციელებენ მიგრანტების უკანონო გადაყვანას ფინანსური სარგებლის მიღების სანაცვლოდ</w:t>
      </w:r>
      <w:r w:rsidR="00E95990">
        <w:rPr>
          <w:rFonts w:asciiTheme="majorHAnsi" w:hAnsiTheme="majorHAnsi" w:cs="Calibri"/>
        </w:rPr>
        <w:t>. აღნიშნული აქტივობა, შესაძლოა</w:t>
      </w:r>
      <w:r w:rsidRPr="0042384C">
        <w:rPr>
          <w:rFonts w:asciiTheme="majorHAnsi" w:hAnsiTheme="majorHAnsi" w:cs="Calibri"/>
        </w:rPr>
        <w:t xml:space="preserve"> უშუალოდ ტერორისტების ან მათთან დაკავშირებული პირების მხრიდან განხორციელდეს. ხსენებული დანაშაულის ტერორიზმის დაფინანსების მიზნით ჩადენის რისკი განსაკუთრებით მაღალია კონფლიქტის ზონებში. მათ </w:t>
      </w:r>
      <w:r w:rsidRPr="0042384C">
        <w:rPr>
          <w:rFonts w:asciiTheme="majorHAnsi" w:hAnsiTheme="majorHAnsi" w:cs="Calibri"/>
        </w:rPr>
        <w:lastRenderedPageBreak/>
        <w:t>შორის, აღნიშნულის ხელშემწყობ ფაქტორს წარმოადგენს ტერორისტული ორგან</w:t>
      </w:r>
      <w:r w:rsidR="0057512E" w:rsidRPr="0042384C">
        <w:rPr>
          <w:rFonts w:asciiTheme="majorHAnsi" w:hAnsiTheme="majorHAnsi" w:cs="Calibri"/>
        </w:rPr>
        <w:t>იზაციის მიერ გარკვეული ტერიტორი</w:t>
      </w:r>
      <w:r w:rsidRPr="0042384C">
        <w:rPr>
          <w:rFonts w:asciiTheme="majorHAnsi" w:hAnsiTheme="majorHAnsi" w:cs="Calibri"/>
        </w:rPr>
        <w:t xml:space="preserve">ის, რომელზეც მიგრანტების გადაყვანის მარშრუტი გადის, კონტროლი  (ან აღნიშნული ტერიტორიის არსებობა დაჯგუფების ე.წ. გავლენის სივრცეში). </w:t>
      </w:r>
    </w:p>
    <w:p w14:paraId="14D019BC" w14:textId="037514EB" w:rsidR="008A66BB" w:rsidRPr="0042384C" w:rsidRDefault="00027AA5" w:rsidP="003F7CDA">
      <w:pPr>
        <w:ind w:firstLine="360"/>
        <w:jc w:val="both"/>
        <w:rPr>
          <w:rFonts w:asciiTheme="majorHAnsi" w:hAnsiTheme="majorHAnsi" w:cs="Calibri"/>
        </w:rPr>
      </w:pPr>
      <w:r w:rsidRPr="0042384C">
        <w:rPr>
          <w:rFonts w:asciiTheme="majorHAnsi" w:hAnsiTheme="majorHAnsi" w:cs="Calibri"/>
        </w:rPr>
        <w:t xml:space="preserve">4.4 </w:t>
      </w:r>
      <w:r w:rsidR="008A66BB" w:rsidRPr="0042384C">
        <w:rPr>
          <w:rFonts w:asciiTheme="majorHAnsi" w:hAnsiTheme="majorHAnsi" w:cs="Calibri"/>
        </w:rPr>
        <w:t>რისკ</w:t>
      </w:r>
      <w:r w:rsidR="00A7276C" w:rsidRPr="0042384C">
        <w:rPr>
          <w:rFonts w:asciiTheme="majorHAnsi" w:hAnsiTheme="majorHAnsi" w:cs="Calibri"/>
        </w:rPr>
        <w:t>ებ</w:t>
      </w:r>
      <w:r w:rsidR="008A66BB" w:rsidRPr="0042384C">
        <w:rPr>
          <w:rFonts w:asciiTheme="majorHAnsi" w:hAnsiTheme="majorHAnsi" w:cs="Calibri"/>
        </w:rPr>
        <w:t>ის შემცირება</w:t>
      </w:r>
    </w:p>
    <w:p w14:paraId="2A386A24" w14:textId="2C49BDC3"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ზემოაღნიშნული უკანონო აქტივობებიდან მიღებული შემოსავლების გამოყენებით ტერორიზმის დაფინანსების პრევენციისა და აღკვეთის მიზნით, საქართველოს შესაბამისი სახელმწიფო სტრუქტურების მიერ ტარდება კანონით გათვალისწინებული ღონისძიებები, რომლებიც მოიცავს როგორც უშუალოდ დანაშაულის წინააღმდეგ ბრძოლას, ისე მსგავსი კრიმინალური საქმიანობიდან მიღებული შემოსავლებით ტერორიზმის დაფინანსების შემთხვევების გამოვლენასა და აღკვეთას.</w:t>
      </w:r>
    </w:p>
    <w:p w14:paraId="03450617" w14:textId="700E64F4"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 xml:space="preserve">საქართველოს კანონმდებლობით კრიმინალიზებულია და მკაცრად ისჯება ნარკოტიკების უკანონო მიმოქცევასთან დაკავშირებული დანაშაულები, ხოლო დამამძიმებელი გარემოებების არსებობისას, პირს შეიძლება უვადო თავისუფლების აღკვეთა მიესაჯოს. საქართველოს სისხლის სამართლის კოდექსში 2021 წელს მნიშვნელოვანი ცვლილებები განხორციელდა და ნარკოტიკული საშუალების, მისი ანალოგის, პრეკურსორის და ახალი ფსიქოაქტიური ნივთიერების უკანონო გასაღებისთვის სასჯელები გამკაცრდა. </w:t>
      </w:r>
    </w:p>
    <w:p w14:paraId="5461B87C" w14:textId="2F11E978"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საქართვე</w:t>
      </w:r>
      <w:r w:rsidR="00E95990">
        <w:rPr>
          <w:rFonts w:asciiTheme="majorHAnsi" w:hAnsiTheme="majorHAnsi" w:cs="Calibri"/>
        </w:rPr>
        <w:t>ლოს გეოგრაფიული მდებარეობა რისკ</w:t>
      </w:r>
      <w:r w:rsidRPr="0042384C">
        <w:rPr>
          <w:rFonts w:asciiTheme="majorHAnsi" w:hAnsiTheme="majorHAnsi" w:cs="Calibri"/>
        </w:rPr>
        <w:t xml:space="preserve">ფაქტორია ნარკოტიკების საერთაშორისო ტრანზიტის კუთხით. 2014 წლიდან მოქმედებს ნარკოტრანზიტის პრევენციის ჯგუფი, რომელიც ქვეყანაში შემომავალი ტვირთებისა და გადამზიდავი კომპანიების მონიტორინგს ახორციელებს. საქართველოს გავლით ნარკოტიკების ტრანზიტის ყველა ძირითადი მარშრუტი შესწავლილი და დოკუმენტირებულია. </w:t>
      </w:r>
    </w:p>
    <w:p w14:paraId="50B7E302" w14:textId="09E67B50"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2012 წლიდან ხორციელდება კონტეინერების კონტროლის პროგრამა. კერძოდ, გაეროს ნარკოტიკებისა და დანაშაულის წინააღმდეგ ბრძოლის ოფისისა (UNODC) და მსოფლიო საბაჟო ორგანიზაციის (WCO) მიერ შექმნილია კონტეინერების კონტროლის სამი ჯგუფი, რომელთა მიზანია საჰაერო, საზღვაო და სახმელეთო გადაზიდვებისას კონტრაბანდის მაღალი რისკის მატარებელი ტვირთების შემოწმება.</w:t>
      </w:r>
    </w:p>
    <w:p w14:paraId="631DEE7E" w14:textId="509D4733"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2023 წლის თებერვალში ნარკომანიასთან ბრძოლის უწყებათაშორისი საკოორდინაციო საბჭოს მიერ დამტკიცდა ნარკოპოლიტიკის 2023-2030 წლების ეროვნული სტრატეგია და თანმდევი სამოქმედო გეგმა 2023-2024 წლებისთვის.</w:t>
      </w:r>
    </w:p>
    <w:p w14:paraId="2A55322E" w14:textId="0C7FB775"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ბოლო წლებში გამოძიების ორგანოების მიერ ჩატარებული სამუშაოს შედეგად, შეინიშნება ნარკოდანაშაულის კლების ტენდენცია. საქართველოს გეოგრაფიული მდებარეო</w:t>
      </w:r>
      <w:r w:rsidR="00E95990">
        <w:rPr>
          <w:rFonts w:asciiTheme="majorHAnsi" w:hAnsiTheme="majorHAnsi" w:cs="Calibri"/>
        </w:rPr>
        <w:t>ბა, ნარკოტრანზიტის კუთხით, რისკ</w:t>
      </w:r>
      <w:r w:rsidRPr="0042384C">
        <w:rPr>
          <w:rFonts w:asciiTheme="majorHAnsi" w:hAnsiTheme="majorHAnsi" w:cs="Calibri"/>
        </w:rPr>
        <w:t xml:space="preserve">ფაქტორია. თუმცა, ნარკოტიკების უკანონო მიმოქცევის ფაქტების გამოვლენა და პარალელური ფინანსური გამოძიება </w:t>
      </w:r>
      <w:r w:rsidRPr="0042384C">
        <w:rPr>
          <w:rFonts w:asciiTheme="majorHAnsi" w:hAnsiTheme="majorHAnsi" w:cs="Calibri"/>
        </w:rPr>
        <w:lastRenderedPageBreak/>
        <w:t xml:space="preserve">ეფექტიანად ხდება, რასაც ნარკოტიკული დანაშაულების წინააღმდეგ ბრძოლის სფეროში უწყებათაშორისი კოორდინაციის, არსებული ვითარების მონიტორინგისა და საერთაშორისო თანამშრომლობის ეფექტური მექანიზმების არსებობა განაპირობებს. </w:t>
      </w:r>
    </w:p>
    <w:p w14:paraId="4EFA2A49" w14:textId="2185DCF2"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ანალოგიურად სახელმწიფო განსაკუთრებულ ყურადღებას უთმობს  იარაღის უკანონო ვაჭრობის წინააღმდეგ ბრძოლას და მიგრანტების უკანონო გადაყვანის შემთხვევების გამოვლენას, რაც შესაძლოა, ასევე, მოიცავდეს ტრეფიკინგის შემთხვევებს. აღსანიშნავია, რომ აშშ-ის სახელმწიფო დეპარტამენტის ადამიანებით ვაჭრობის 2022 წლის ანგარიშში საქართველო ინარჩუნებს ადგილს ე.წ. პირველ კალათაში, რაც ტრეფიკინგის წინააღმდეგ ბრძოლის მაღალი ეფექტიანობის მანიშნებელია. ტრეფიკინგთან ბრძოლის გაუმჯობესების მიზნით, საქართველოში მოქმედებს ადამიანით ვაჭრობის</w:t>
      </w:r>
      <w:r w:rsidR="000A3289" w:rsidRPr="0042384C">
        <w:rPr>
          <w:rFonts w:asciiTheme="majorHAnsi" w:hAnsiTheme="majorHAnsi" w:cs="Calibri"/>
        </w:rPr>
        <w:t xml:space="preserve"> (ტრეფიკინგის)</w:t>
      </w:r>
      <w:r w:rsidRPr="0042384C">
        <w:rPr>
          <w:rFonts w:asciiTheme="majorHAnsi" w:hAnsiTheme="majorHAnsi" w:cs="Calibri"/>
        </w:rPr>
        <w:t xml:space="preserve"> წინააღმდეგ მიმართული ღონისძიებების განმახორციელებელი უწყებათაშორისი საკოორდინაციო საბჭო.</w:t>
      </w:r>
    </w:p>
    <w:p w14:paraId="02D7A63B" w14:textId="0D17A258" w:rsidR="008A66BB" w:rsidRPr="0042384C" w:rsidRDefault="008A66BB" w:rsidP="003F7CDA">
      <w:pPr>
        <w:autoSpaceDE w:val="0"/>
        <w:autoSpaceDN w:val="0"/>
        <w:spacing w:line="276" w:lineRule="auto"/>
        <w:jc w:val="both"/>
        <w:rPr>
          <w:rFonts w:asciiTheme="majorHAnsi" w:hAnsiTheme="majorHAnsi" w:cs="Calibri"/>
        </w:rPr>
      </w:pPr>
      <w:r w:rsidRPr="0042384C">
        <w:rPr>
          <w:rFonts w:asciiTheme="majorHAnsi" w:hAnsiTheme="majorHAnsi" w:cs="Calibri"/>
        </w:rPr>
        <w:t xml:space="preserve">აღსანიშნავია, რომ დანაშაულებრივი საქმიანობის შედეგად - ნარკოტიკებით ვაჭრობიდან, მიგრანტების გადაადგილებისა თუ იარაღით ვაჭრობიდან მიღებული შემოსავლით ტერორიზმის დაფინანსების ფაქტს საქართველოში ადგილი არ ჰქონია. </w:t>
      </w:r>
    </w:p>
    <w:p w14:paraId="5FBF4252" w14:textId="77777777" w:rsidR="00027AA5" w:rsidRPr="0042384C" w:rsidRDefault="00027AA5" w:rsidP="00027AA5">
      <w:pPr>
        <w:ind w:firstLine="360"/>
        <w:jc w:val="both"/>
        <w:rPr>
          <w:rFonts w:asciiTheme="majorHAnsi" w:hAnsiTheme="majorHAnsi" w:cs="Calibri"/>
        </w:rPr>
      </w:pPr>
      <w:r w:rsidRPr="0042384C">
        <w:rPr>
          <w:rFonts w:asciiTheme="majorHAnsi" w:hAnsiTheme="majorHAnsi" w:cs="Calibri"/>
        </w:rPr>
        <w:t>4.5</w:t>
      </w:r>
      <w:r w:rsidR="008A66BB" w:rsidRPr="0042384C">
        <w:rPr>
          <w:rFonts w:asciiTheme="majorHAnsi" w:hAnsiTheme="majorHAnsi" w:cs="Calibri"/>
        </w:rPr>
        <w:t xml:space="preserve">. ვაჭრობაზე დაფუძნებული ტერორიზმის დაფინანსება </w:t>
      </w:r>
    </w:p>
    <w:p w14:paraId="6CD4918B" w14:textId="6484C2E5" w:rsidR="008A66BB" w:rsidRPr="0042384C" w:rsidRDefault="008A66BB" w:rsidP="003F7CDA">
      <w:pPr>
        <w:ind w:firstLine="360"/>
        <w:jc w:val="both"/>
        <w:rPr>
          <w:rFonts w:asciiTheme="majorHAnsi" w:hAnsiTheme="majorHAnsi" w:cs="Calibri"/>
        </w:rPr>
      </w:pPr>
      <w:r w:rsidRPr="0042384C">
        <w:rPr>
          <w:rFonts w:asciiTheme="majorHAnsi" w:hAnsiTheme="majorHAnsi" w:cs="Calibri"/>
        </w:rPr>
        <w:t>(სამეწარმეო საქმიანობის სუბიექტები)</w:t>
      </w:r>
    </w:p>
    <w:p w14:paraId="0C162AC7" w14:textId="2936F383"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 xml:space="preserve">არალეგალური ვაჭრობის გარდა, ტერორიზმის დაფინანსების რისკების მიმართ გარკვეული მოწყვლადობით ასევე ხასიათდება ლეგალური სავაჭრო სისტემა. აღნიშნული მიმართულებით, გამოწვევას წარმოადგენს ის გარემოება, რომ სავაჭრო საქმიანობის ფარგლებში, კანონთან შეუსაბამო მოქმედებებსა და ტრანზაქციებს ადგილი არ აქვს, თუმცა აღნიშნულიდან მიღებული შემოსავლის ტერორისტული აქტივობების დასაფინანსებლად გამოყენების რისკი არსებობს. </w:t>
      </w:r>
    </w:p>
    <w:p w14:paraId="7867D1E2" w14:textId="7E84B7FF"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არსებობს რისკი, რომ ვაჭრობის სექტორში მოქმედი სამეწარმეო სუბიექტები ტერორიზმის დაფინანსების საშუალებად გამოიყენებოდეს, თუმცა საქართველოს შემთხვევაში აღნიშნული რისკის დონე შეფასებულია, როგორც დაბალი.</w:t>
      </w:r>
      <w:r w:rsidR="00027AA5" w:rsidRPr="0042384C">
        <w:rPr>
          <w:rFonts w:asciiTheme="majorHAnsi" w:hAnsiTheme="majorHAnsi" w:cs="Calibri"/>
        </w:rPr>
        <w:t xml:space="preserve"> ამაზე მეტყველებს ის გარემოება, რომ დღემდე გამოძიებულ ტერორიზმის დაფინანსების საქმეებში არ გამოვლენილა ვაჭრობაზე დაფუძნებული ტერორიზმის დაფინანსების მეთოდი და არც სხვა ქვეყნების სამართალდამცავი ორგანოების მიერ მოხდარა მსგავსი ფაქტების თაობაზე ინფორმაციის გაზიარება საქართვ</w:t>
      </w:r>
      <w:r w:rsidR="00081F3F" w:rsidRPr="0042384C">
        <w:rPr>
          <w:rFonts w:asciiTheme="majorHAnsi" w:hAnsiTheme="majorHAnsi" w:cs="Calibri"/>
        </w:rPr>
        <w:t>ელოს გამოძიების ორგანოებისთვის.</w:t>
      </w:r>
    </w:p>
    <w:p w14:paraId="0DCF21EB" w14:textId="720BCBFC"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 xml:space="preserve">ინდივიდუალური მეწარმის ფორმა შესაძლოა, ტერორიზმის დაფინანსების თვალსაზრისით, განსაკუთრებით ხელსაყრელი იყოს, რადგან აღნიშნული ტიპის საწარმო სხვადასხვა შეღავათით სარგებლობს. თუმცა,  ვინაიდან ინდივიდუალური მეწარმეების დიდი ნაწილი მცირე მეწარმეთა კატეგორიას მიეკუთვნება, მათი </w:t>
      </w:r>
      <w:r w:rsidRPr="0042384C">
        <w:rPr>
          <w:rFonts w:asciiTheme="majorHAnsi" w:hAnsiTheme="majorHAnsi" w:cs="Calibri"/>
        </w:rPr>
        <w:lastRenderedPageBreak/>
        <w:t>ცალკეული წარმომადგენლების მხრიდან დანაშაულებრივი ქმედების შესაძლო დაფინანსების ოდენობაც შეზღუდული/მცირე იქნება.</w:t>
      </w:r>
    </w:p>
    <w:p w14:paraId="78D0F2B3" w14:textId="0E82ABDC" w:rsidR="008A66BB" w:rsidRPr="0042384C" w:rsidRDefault="008A66BB" w:rsidP="003F7CDA">
      <w:pPr>
        <w:autoSpaceDE w:val="0"/>
        <w:autoSpaceDN w:val="0"/>
        <w:spacing w:line="276" w:lineRule="auto"/>
        <w:jc w:val="both"/>
        <w:rPr>
          <w:rFonts w:asciiTheme="majorHAnsi" w:hAnsiTheme="majorHAnsi" w:cs="Calibri"/>
        </w:rPr>
      </w:pPr>
      <w:r w:rsidRPr="0042384C">
        <w:rPr>
          <w:rFonts w:asciiTheme="majorHAnsi" w:hAnsiTheme="majorHAnsi" w:cs="Calibri"/>
        </w:rPr>
        <w:t xml:space="preserve">არსებობს რისკი, რომ საბითუმო და საცალო ვაჭრობის სექტორში საქმიანობდნენ იურიდიული პირებიც, რომლებიც, ასევე, შესაძლოა წარმოადგენდნენ ტერორიზმის დაფინანსების წყაროს. </w:t>
      </w:r>
    </w:p>
    <w:p w14:paraId="102C9FE0" w14:textId="64119E64" w:rsidR="008A66BB" w:rsidRPr="0042384C" w:rsidRDefault="00027AA5" w:rsidP="003F7CDA">
      <w:pPr>
        <w:ind w:firstLine="360"/>
        <w:jc w:val="both"/>
        <w:rPr>
          <w:rFonts w:asciiTheme="majorHAnsi" w:hAnsiTheme="majorHAnsi" w:cs="Calibri"/>
        </w:rPr>
      </w:pPr>
      <w:r w:rsidRPr="0042384C">
        <w:rPr>
          <w:rFonts w:asciiTheme="majorHAnsi" w:hAnsiTheme="majorHAnsi" w:cs="Calibri"/>
        </w:rPr>
        <w:t xml:space="preserve">4.6 </w:t>
      </w:r>
      <w:r w:rsidR="008A66BB" w:rsidRPr="0042384C">
        <w:rPr>
          <w:rFonts w:asciiTheme="majorHAnsi" w:hAnsiTheme="majorHAnsi" w:cs="Calibri"/>
        </w:rPr>
        <w:t>რისკ</w:t>
      </w:r>
      <w:r w:rsidRPr="0042384C">
        <w:rPr>
          <w:rFonts w:asciiTheme="majorHAnsi" w:hAnsiTheme="majorHAnsi" w:cs="Calibri"/>
        </w:rPr>
        <w:t>ებ</w:t>
      </w:r>
      <w:r w:rsidR="008A66BB" w:rsidRPr="0042384C">
        <w:rPr>
          <w:rFonts w:asciiTheme="majorHAnsi" w:hAnsiTheme="majorHAnsi" w:cs="Calibri"/>
        </w:rPr>
        <w:t>ის შემცირება</w:t>
      </w:r>
    </w:p>
    <w:p w14:paraId="1D974959" w14:textId="18230C66"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კონტრტერორისტულ საქმიან</w:t>
      </w:r>
      <w:r w:rsidR="00E95990">
        <w:rPr>
          <w:rFonts w:asciiTheme="majorHAnsi" w:hAnsiTheme="majorHAnsi" w:cs="Calibri"/>
        </w:rPr>
        <w:t>ობაზე პასუხისმგებელი დანაყოფები</w:t>
      </w:r>
      <w:r w:rsidRPr="0042384C">
        <w:rPr>
          <w:rFonts w:asciiTheme="majorHAnsi" w:hAnsiTheme="majorHAnsi" w:cs="Calibri"/>
        </w:rPr>
        <w:t xml:space="preserve"> მუდმივ რეჟიმში ახორციელებენ ვითარების მონიტორინგს და მუშაობენ სავაჭრო სექტორში მოქმედი კერძო სამეწარმეო სუბიექტების გამოსავლენად, რომლებიც შესაძლოა ტერორიზმის დაფინანსებაში გარკვეული ფორმით მონაწილეობდნენ, ან მომავალში მათი აღნიშნულ დანაშაულში ჩართვის რისკი არსებობს. </w:t>
      </w:r>
    </w:p>
    <w:p w14:paraId="373F4EDE" w14:textId="2D353D87"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 xml:space="preserve">მსგავსი ფაქტების გამოვლენის შემთხვევაში, შესაბამისი დანაყოფის მხრიდან ტარდება კანონით გათვალისწინებული ღონისძიებები ტერორიზმის დაფინანსების </w:t>
      </w:r>
      <w:r w:rsidR="00EC5E80" w:rsidRPr="0042384C">
        <w:rPr>
          <w:rFonts w:asciiTheme="majorHAnsi" w:hAnsiTheme="majorHAnsi" w:cs="Calibri"/>
        </w:rPr>
        <w:t>პრევენციისა და აღკვეთის მიზნით (აქვე შეგახსენებთ, რო</w:t>
      </w:r>
      <w:r w:rsidR="000A3289" w:rsidRPr="0042384C">
        <w:rPr>
          <w:rFonts w:asciiTheme="majorHAnsi" w:hAnsiTheme="majorHAnsi" w:cs="Calibri"/>
        </w:rPr>
        <w:t>მ</w:t>
      </w:r>
      <w:r w:rsidR="00EC5E80" w:rsidRPr="0042384C">
        <w:rPr>
          <w:rFonts w:asciiTheme="majorHAnsi" w:hAnsiTheme="majorHAnsi" w:cs="Calibri"/>
        </w:rPr>
        <w:t xml:space="preserve"> საქართველო ერთ</w:t>
      </w:r>
      <w:r w:rsidR="00E95990">
        <w:rPr>
          <w:rFonts w:asciiTheme="majorHAnsi" w:hAnsiTheme="majorHAnsi" w:cs="Calibri"/>
        </w:rPr>
        <w:t>-</w:t>
      </w:r>
      <w:r w:rsidR="00EC5E80" w:rsidRPr="0042384C">
        <w:rPr>
          <w:rFonts w:asciiTheme="majorHAnsi" w:hAnsiTheme="majorHAnsi" w:cs="Calibri"/>
        </w:rPr>
        <w:t>ერთი</w:t>
      </w:r>
      <w:r w:rsidR="00B95DB1" w:rsidRPr="0042384C">
        <w:rPr>
          <w:rFonts w:asciiTheme="majorHAnsi" w:hAnsiTheme="majorHAnsi" w:cs="Calibri"/>
        </w:rPr>
        <w:t>ა</w:t>
      </w:r>
      <w:r w:rsidR="00EC5E80" w:rsidRPr="0042384C">
        <w:rPr>
          <w:rFonts w:asciiTheme="majorHAnsi" w:hAnsiTheme="majorHAnsi" w:cs="Calibri"/>
        </w:rPr>
        <w:t xml:space="preserve"> იმ ქვეყანათ</w:t>
      </w:r>
      <w:r w:rsidR="00B95DB1" w:rsidRPr="0042384C">
        <w:rPr>
          <w:rFonts w:asciiTheme="majorHAnsi" w:hAnsiTheme="majorHAnsi" w:cs="Calibri"/>
        </w:rPr>
        <w:t>აგან</w:t>
      </w:r>
      <w:r w:rsidR="00EC5E80" w:rsidRPr="0042384C">
        <w:rPr>
          <w:rFonts w:asciiTheme="majorHAnsi" w:hAnsiTheme="majorHAnsi" w:cs="Calibri"/>
        </w:rPr>
        <w:t xml:space="preserve">, რომელშიც არსებობს აღნიშნული მიმართულებით დამდგარი საბრალდებო განაჩენები). </w:t>
      </w:r>
    </w:p>
    <w:p w14:paraId="23006CB0" w14:textId="510BD812" w:rsidR="008A66BB" w:rsidRPr="0042384C" w:rsidRDefault="008A66BB" w:rsidP="003F7CDA">
      <w:pPr>
        <w:autoSpaceDE w:val="0"/>
        <w:autoSpaceDN w:val="0"/>
        <w:spacing w:line="276" w:lineRule="auto"/>
        <w:jc w:val="both"/>
        <w:rPr>
          <w:rFonts w:asciiTheme="majorHAnsi" w:hAnsiTheme="majorHAnsi" w:cs="Calibri"/>
        </w:rPr>
      </w:pPr>
      <w:r w:rsidRPr="0042384C">
        <w:rPr>
          <w:rFonts w:asciiTheme="majorHAnsi" w:hAnsiTheme="majorHAnsi" w:cs="Calibri"/>
        </w:rPr>
        <w:t>აღსანიშნავია, რომ საანგარიშო პერიოდში ვაჭრობის სექტორში მოქმედი სამეწარმეო სუბიექტების მხრიდან საქართველოში ტერორიზმის დაფინანსების შემთხვევები არ გამოვლენილა.</w:t>
      </w:r>
    </w:p>
    <w:p w14:paraId="261FD0F0" w14:textId="4A3C0D28" w:rsidR="008A66BB" w:rsidRPr="0042384C" w:rsidRDefault="00027AA5" w:rsidP="003F7CDA">
      <w:pPr>
        <w:ind w:firstLine="360"/>
        <w:jc w:val="both"/>
        <w:rPr>
          <w:rFonts w:asciiTheme="majorHAnsi" w:hAnsiTheme="majorHAnsi" w:cs="Calibri"/>
        </w:rPr>
      </w:pPr>
      <w:r w:rsidRPr="0042384C">
        <w:rPr>
          <w:rFonts w:asciiTheme="majorHAnsi" w:hAnsiTheme="majorHAnsi" w:cs="Calibri"/>
        </w:rPr>
        <w:t xml:space="preserve">4.7 </w:t>
      </w:r>
      <w:r w:rsidR="008A66BB" w:rsidRPr="0042384C">
        <w:rPr>
          <w:rFonts w:asciiTheme="majorHAnsi" w:hAnsiTheme="majorHAnsi" w:cs="Calibri"/>
        </w:rPr>
        <w:t>საქველმოქმედო ორგანიზაციები</w:t>
      </w:r>
    </w:p>
    <w:p w14:paraId="538B7B8C" w14:textId="63398965"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 xml:space="preserve">საქველმოქმედო ორგანიზაციის ფორმით არსებული არასამეწარმეო იურიდიული პირის გამოყენება ტერორიზმის დაფინანსების ერთ-ერთ მეთოდს წარმოადგენს, თუმცა გასათვალისწინებელია, რომ საქართველოში აღნიშნული პრაქტიკა არ დაფიქსირებულა. </w:t>
      </w:r>
    </w:p>
    <w:p w14:paraId="5256460B" w14:textId="2D06EF89"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 xml:space="preserve">აღნიშნული მიმართულებით, ძირითადი რისკი უკავშირდება </w:t>
      </w:r>
      <w:r w:rsidR="00E95990">
        <w:rPr>
          <w:rFonts w:asciiTheme="majorHAnsi" w:hAnsiTheme="majorHAnsi" w:cs="Calibri"/>
        </w:rPr>
        <w:t>საქველმოქმედო ორგანიზაციის მიერ</w:t>
      </w:r>
      <w:r w:rsidRPr="0042384C">
        <w:rPr>
          <w:rFonts w:asciiTheme="majorHAnsi" w:hAnsiTheme="majorHAnsi" w:cs="Calibri"/>
        </w:rPr>
        <w:t xml:space="preserve"> ფილანთროპიული მიზნით მოქალაქეებისგან ფინანსური რესურსის შეგროვებას და შემდეგ ამ თანხის ტერორიზმის დასაფინანსებლად გამოყენებას. </w:t>
      </w:r>
    </w:p>
    <w:p w14:paraId="2B0E95E0" w14:textId="72B35541"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 xml:space="preserve">აღნიშნულ კონტექსტში, საქველმოქმედო ორგანიზაციის მიერ შესრულებული ტრანზაქციების გამჭვირვალობა განსაკუთრებით მნიშვნელოვანია. შეიძლება ითქვას, ერთ-ერთ მთავარ გამოწვევას საქველმოქმედო ორგანიზაციის მიერ ფულადი თანხის საბოლოო ადრესატისთვის გადარიცხვის/გადაცემის დროს, განსაკუთრებით კი სხვა ქვეყანაში თანხის გაგზავნის შემთხვევაში, ბენეფიციარის მაიდენტიფიცირებელი მონაცემების დადგენასთან დაკავშირებული სირთულე წარმოადგენს. </w:t>
      </w:r>
    </w:p>
    <w:p w14:paraId="11742E3F" w14:textId="31031592"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 xml:space="preserve">ასევე, ერთ-ერთი მნიშვნელოვანი გამოწვევაა საქველმოქმედო ორგანიზაციის ოპერირება ტერორისტების მოქმედების/კონფლიქტის ზონაში ან აღნიშნულთან გეოგრაფიულ სიახლოვეში, რადგან მსგავს შემთხვევებში საქველმოქმედო </w:t>
      </w:r>
      <w:r w:rsidRPr="0042384C">
        <w:rPr>
          <w:rFonts w:asciiTheme="majorHAnsi" w:hAnsiTheme="majorHAnsi" w:cs="Calibri"/>
        </w:rPr>
        <w:lastRenderedPageBreak/>
        <w:t xml:space="preserve">ორგანიზაციის საბოლოო ადრესატის დადგენა მნიშვნელოვნად რთულდება. </w:t>
      </w:r>
      <w:r w:rsidR="00A7276C" w:rsidRPr="0042384C">
        <w:rPr>
          <w:rFonts w:asciiTheme="majorHAnsi" w:hAnsiTheme="majorHAnsi" w:cs="Calibri"/>
        </w:rPr>
        <w:t>თუმცა, საქართველოში რეგისტრირებული საქველმოქმედო ორგანიზაციები არ საქმიანობენ იმ ქვეყნებში, რომლებში მოქმედებენ ტერორისტული ჯგუფები ან სადაც ამჟამად სამხედრო კონფლიქტია.</w:t>
      </w:r>
    </w:p>
    <w:p w14:paraId="0625050D" w14:textId="60DF1563" w:rsidR="008A66BB" w:rsidRPr="0042384C" w:rsidRDefault="00A7276C" w:rsidP="003F7CDA">
      <w:pPr>
        <w:ind w:firstLine="360"/>
        <w:jc w:val="both"/>
        <w:rPr>
          <w:rFonts w:asciiTheme="majorHAnsi" w:hAnsiTheme="majorHAnsi" w:cs="Calibri"/>
        </w:rPr>
      </w:pPr>
      <w:r w:rsidRPr="0042384C">
        <w:rPr>
          <w:rFonts w:asciiTheme="majorHAnsi" w:hAnsiTheme="majorHAnsi" w:cs="Calibri"/>
        </w:rPr>
        <w:t xml:space="preserve">4.8 </w:t>
      </w:r>
      <w:r w:rsidR="008A66BB" w:rsidRPr="0042384C">
        <w:rPr>
          <w:rFonts w:asciiTheme="majorHAnsi" w:hAnsiTheme="majorHAnsi" w:cs="Calibri"/>
        </w:rPr>
        <w:t>რისკების შემცირება</w:t>
      </w:r>
    </w:p>
    <w:p w14:paraId="7C7C8BD6" w14:textId="7E2030B5"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არასამეწარმეო ორგანიზაციებთან (მათ შორის</w:t>
      </w:r>
      <w:r w:rsidR="00E95990">
        <w:rPr>
          <w:rFonts w:asciiTheme="majorHAnsi" w:hAnsiTheme="majorHAnsi" w:cs="Calibri"/>
        </w:rPr>
        <w:t>,</w:t>
      </w:r>
      <w:r w:rsidRPr="0042384C">
        <w:rPr>
          <w:rFonts w:asciiTheme="majorHAnsi" w:hAnsiTheme="majorHAnsi" w:cs="Calibri"/>
        </w:rPr>
        <w:t xml:space="preserve"> საქველმოქმედო ორგანიზაციებთან) მიმართებით საქართველოში არსებობს ტერორიზმის დაფინანსების რისკის შემცირების მექანიზმები, რომლებიც, ერთი მხრივ, არასამეწარმეო ორგანიზაციების საქმიანობაში არაპროპორციულ ჩარევას გამორიცხავს, მაგრამ, მეორე მხრივ, მათი ბოროტად გამოყენების პრევენციას უზრუნველყოფს. ეს მექანიზმები მოიცავს რისკზე დამყარებულ მონიტორინგს, სათანადო</w:t>
      </w:r>
      <w:r w:rsidR="00F3117D" w:rsidRPr="0042384C">
        <w:rPr>
          <w:rFonts w:asciiTheme="majorHAnsi" w:hAnsiTheme="majorHAnsi" w:cs="Calibri"/>
        </w:rPr>
        <w:t xml:space="preserve"> ინფორმაციის მოძიებას და ეფექტიან</w:t>
      </w:r>
      <w:r w:rsidRPr="0042384C">
        <w:rPr>
          <w:rFonts w:asciiTheme="majorHAnsi" w:hAnsiTheme="majorHAnsi" w:cs="Calibri"/>
        </w:rPr>
        <w:t xml:space="preserve"> გამოძიებას. </w:t>
      </w:r>
    </w:p>
    <w:p w14:paraId="112ADDE8" w14:textId="1CF8F05D"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 xml:space="preserve">იურიდიული პირის რეგისტრაციის დროს საჯარო რეესტრი ამოწმებს მისი დამფუძნებლის (პარტნიორის), დირექტორისა და წარმომადგენლის ყოფნას გაეროს უშიშროების საბჭოს შესაბამისი რეზოლუციით საერთაშორისო ტერორიზმთან ასოცირებულ პირთა სიაში. </w:t>
      </w:r>
    </w:p>
    <w:p w14:paraId="084D5663" w14:textId="132B1AA7"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არასამეწარმეო იურიდიული პირი, რომელსაც საქ</w:t>
      </w:r>
      <w:r w:rsidR="00E95990">
        <w:rPr>
          <w:rFonts w:asciiTheme="majorHAnsi" w:hAnsiTheme="majorHAnsi" w:cs="Calibri"/>
        </w:rPr>
        <w:t>ველმოქმედო ორგანიზაციის სტატუსი</w:t>
      </w:r>
      <w:r w:rsidRPr="0042384C">
        <w:rPr>
          <w:rFonts w:asciiTheme="majorHAnsi" w:hAnsiTheme="majorHAnsi" w:cs="Calibri"/>
        </w:rPr>
        <w:t xml:space="preserve"> აქვს მინიჭებული, ყოველწლიურად წარუდგენს შემოსავლების სამსახურს პროგრამულ და ფინანსურ ანგარიშებს. პროცედურის მიზანია იმის კონტროლი, რამდენად შეესაბამება იურიდიული პირის საქმიანობა საქველმოქმედო მიზნებს. თითოეული საქველმოქმედო ორგანიზაცია ასევე საჯაროდ აქვეყნებს თავისი საქმიანობის აღწერილობას და ფინანსურ ანგარიშგებას. </w:t>
      </w:r>
    </w:p>
    <w:p w14:paraId="527162CC" w14:textId="051B2F28"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ფულის გათეთრებისა და ტერორიზმის დაფინანსების წინააღმდეგ მოქმედი კანონმდებლობა  ბანკებისგან მოითხოვს გარკვეული მომეტებული რისკის ტრანზაქციების შესახებ შეტყობინებების გაგზავნას ფმს-ში. სხვა ტრანზაქციებთან ერთად, ფმს-ს უნდა წარედგინოს ინფორმაცია საბანკო ანგარიშზე შესრულებული თანხის ჩარიცხვა/გადარიცხვის საერთაშორისო ოპერაციების თაობაზე, რომელთა თანხა აღემატება 50,000 ლარს არასამეწარმეო იურიდიული პირების შემთხვევაში და 10,000 ლარს საქველმოქმედო სტატუსის მქონე ორგანიზაციების შემთხვევაში. ამასთან, სებ-ის რეგულაციების მიხედვით, საფინანსო ინსტიტუტებს ევალებათ გაძლიერებული პრევენციული ღონისძიებების განხორციელება არასამეწარმეო ორგანიზაციების, მათ შორის საქველმოქმედო ორგანიზაციების, მიმართ როგორც საქმიანი ურთიერთობის დამყარების, ისე ტრანზაქციების მონიტორინგის პროცესში.</w:t>
      </w:r>
    </w:p>
    <w:p w14:paraId="62E81C0D" w14:textId="77777777" w:rsidR="008A66BB" w:rsidRPr="0042384C" w:rsidRDefault="008A66BB" w:rsidP="00F901C8">
      <w:pPr>
        <w:autoSpaceDE w:val="0"/>
        <w:autoSpaceDN w:val="0"/>
        <w:spacing w:line="276" w:lineRule="auto"/>
        <w:jc w:val="both"/>
        <w:rPr>
          <w:rFonts w:asciiTheme="majorHAnsi" w:hAnsiTheme="majorHAnsi" w:cs="Calibri"/>
        </w:rPr>
      </w:pPr>
      <w:r w:rsidRPr="0042384C">
        <w:rPr>
          <w:rFonts w:asciiTheme="majorHAnsi" w:hAnsiTheme="majorHAnsi" w:cs="Calibri"/>
        </w:rPr>
        <w:t xml:space="preserve">ფმს-ს და გამოძიების ორგანოებს არასდროს გამოუვლენიათ არასამეწარმეო ორგანიზაციების შესაძლო კავშირი ტერორიზმის დაფინანსებასთან ან სხვა ტიპის ტერორისტულ დანაშაულთან.  </w:t>
      </w:r>
    </w:p>
    <w:p w14:paraId="1EC36AF6" w14:textId="77777777" w:rsidR="00EB0602" w:rsidRPr="0042384C" w:rsidRDefault="00EB0602">
      <w:pPr>
        <w:rPr>
          <w:rFonts w:asciiTheme="majorHAnsi" w:hAnsiTheme="majorHAnsi" w:cs="Calibri"/>
        </w:rPr>
      </w:pPr>
    </w:p>
    <w:sectPr w:rsidR="00EB0602" w:rsidRPr="0042384C">
      <w:pgSz w:w="11906" w:h="16838"/>
      <w:pgMar w:top="1440" w:right="1440" w:bottom="1440" w:left="1440" w:header="708" w:footer="708"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CD781A" w16cid:durableId="2BDA58F1"/>
  <w16cid:commentId w16cid:paraId="6E875E49" w16cid:durableId="78F7E3F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C9E74C" w14:textId="77777777" w:rsidR="003228B4" w:rsidRDefault="003228B4" w:rsidP="003A7EAA">
      <w:r>
        <w:separator/>
      </w:r>
    </w:p>
  </w:endnote>
  <w:endnote w:type="continuationSeparator" w:id="0">
    <w:p w14:paraId="2E428A03" w14:textId="77777777" w:rsidR="003228B4" w:rsidRDefault="003228B4" w:rsidP="003A7EAA">
      <w:r>
        <w:continuationSeparator/>
      </w:r>
    </w:p>
  </w:endnote>
  <w:endnote w:id="1">
    <w:p w14:paraId="1359DABE" w14:textId="77777777" w:rsidR="003F7CDA" w:rsidRDefault="003F7CDA" w:rsidP="00A65707">
      <w:pPr>
        <w:pStyle w:val="FootnoteText"/>
        <w:spacing w:line="276" w:lineRule="auto"/>
        <w:jc w:val="both"/>
        <w:rPr>
          <w:rFonts w:ascii="Sylfaen" w:hAnsi="Sylfaen"/>
          <w:i/>
          <w:sz w:val="18"/>
          <w:szCs w:val="16"/>
          <w:lang w:val="ka-GE"/>
        </w:rPr>
      </w:pPr>
      <w:r>
        <w:rPr>
          <w:rStyle w:val="FootnoteReference"/>
          <w:rFonts w:ascii="Sylfaen" w:hAnsi="Sylfaen"/>
          <w:b/>
          <w:i/>
          <w:sz w:val="18"/>
          <w:szCs w:val="16"/>
        </w:rPr>
        <w:endnoteRef/>
      </w:r>
      <w:r>
        <w:rPr>
          <w:rFonts w:ascii="Sylfaen" w:hAnsi="Sylfaen"/>
          <w:i/>
          <w:sz w:val="18"/>
          <w:szCs w:val="16"/>
        </w:rPr>
        <w:t xml:space="preserve"> საქართველოს საბაჟო საზღვარზე ნაღდი ფულისა და ფასიანი ქაღალდის უკანონო გადატანა და გადმოტან</w:t>
      </w:r>
      <w:r>
        <w:rPr>
          <w:rFonts w:ascii="Sylfaen" w:hAnsi="Sylfaen"/>
          <w:i/>
          <w:sz w:val="18"/>
          <w:szCs w:val="16"/>
          <w:lang w:val="ka-GE"/>
        </w:rPr>
        <w:t>ის</w:t>
      </w:r>
      <w:r>
        <w:rPr>
          <w:rFonts w:ascii="Sylfaen" w:hAnsi="Sylfaen"/>
          <w:i/>
          <w:sz w:val="18"/>
          <w:szCs w:val="16"/>
        </w:rPr>
        <w:t>ა</w:t>
      </w:r>
      <w:r>
        <w:rPr>
          <w:rFonts w:ascii="Sylfaen" w:hAnsi="Sylfaen"/>
          <w:i/>
          <w:sz w:val="18"/>
          <w:szCs w:val="16"/>
          <w:lang w:val="ka-GE"/>
        </w:rPr>
        <w:t>თვის საბაჟო სანქცია გათვალისწინებულია საქართველოს საბაჟო კოდექსის 169-ე მუხლით.</w:t>
      </w:r>
    </w:p>
  </w:endnote>
  <w:endnote w:id="2">
    <w:p w14:paraId="76171A0B" w14:textId="77777777" w:rsidR="003F7CDA" w:rsidRDefault="003F7CDA" w:rsidP="00A65707">
      <w:pPr>
        <w:pStyle w:val="FootnoteText"/>
        <w:spacing w:line="276" w:lineRule="auto"/>
        <w:jc w:val="both"/>
        <w:rPr>
          <w:rFonts w:ascii="Sylfaen" w:eastAsia="Calibri" w:hAnsi="Sylfaen" w:cs="Times New Roman"/>
          <w:i/>
          <w:sz w:val="18"/>
          <w:szCs w:val="16"/>
          <w:lang w:val="ka-GE"/>
        </w:rPr>
      </w:pPr>
      <w:r>
        <w:rPr>
          <w:rStyle w:val="FootnoteReference"/>
          <w:rFonts w:ascii="Sylfaen" w:hAnsi="Sylfaen"/>
          <w:b/>
          <w:i/>
          <w:sz w:val="18"/>
          <w:szCs w:val="16"/>
        </w:rPr>
        <w:endnoteRef/>
      </w:r>
      <w:r>
        <w:rPr>
          <w:rFonts w:ascii="Sylfaen" w:hAnsi="Sylfaen"/>
          <w:i/>
          <w:sz w:val="18"/>
          <w:szCs w:val="16"/>
        </w:rPr>
        <w:t xml:space="preserve"> საბაჟო დეკლარაციასა და მის თანმხლებ დოკუმენტში არასწორი მონაცემის არსებობისას იმპორტის გადასახდელის ოდენობის შემცირებისა</w:t>
      </w:r>
      <w:r>
        <w:rPr>
          <w:rFonts w:ascii="Sylfaen" w:hAnsi="Sylfaen"/>
          <w:i/>
          <w:sz w:val="18"/>
          <w:szCs w:val="16"/>
          <w:lang w:val="ka-GE"/>
        </w:rPr>
        <w:t>თვის საბაჟო სანქცია გათვალისწინებულია საქართველოს საბაჟო კოდექსის 167-ე მუხლით.</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A2C968" w14:textId="77777777" w:rsidR="003228B4" w:rsidRDefault="003228B4" w:rsidP="003A7EAA">
      <w:r>
        <w:separator/>
      </w:r>
    </w:p>
  </w:footnote>
  <w:footnote w:type="continuationSeparator" w:id="0">
    <w:p w14:paraId="4BBD1733" w14:textId="77777777" w:rsidR="003228B4" w:rsidRDefault="003228B4" w:rsidP="003A7EAA">
      <w:r>
        <w:continuationSeparator/>
      </w:r>
    </w:p>
  </w:footnote>
  <w:footnote w:id="1">
    <w:p w14:paraId="0AF58EE2" w14:textId="77777777" w:rsidR="003F7CDA" w:rsidRPr="00CE6A43" w:rsidRDefault="003F7CDA" w:rsidP="00AB54D7">
      <w:pPr>
        <w:pStyle w:val="FootnoteText"/>
        <w:rPr>
          <w:rFonts w:cstheme="minorHAnsi"/>
          <w:sz w:val="16"/>
          <w:szCs w:val="16"/>
          <w:lang w:val="ka-GE"/>
        </w:rPr>
      </w:pPr>
      <w:r w:rsidRPr="00CE6A43">
        <w:rPr>
          <w:rStyle w:val="FootnoteReference"/>
          <w:rFonts w:cstheme="minorHAnsi"/>
          <w:sz w:val="16"/>
          <w:szCs w:val="16"/>
        </w:rPr>
        <w:footnoteRef/>
      </w:r>
      <w:r w:rsidRPr="00CE6A43">
        <w:rPr>
          <w:rFonts w:cstheme="minorHAnsi"/>
          <w:sz w:val="16"/>
          <w:szCs w:val="16"/>
          <w:lang w:val="ka-GE"/>
        </w:rPr>
        <w:t xml:space="preserve"> 2019 წლის ფისკალური მონიტორი და 2018 წლის სახელმწიფო სახსრების მართვა.</w:t>
      </w:r>
    </w:p>
  </w:footnote>
  <w:footnote w:id="2">
    <w:p w14:paraId="3CDF974C" w14:textId="026FBFBA" w:rsidR="003F7CDA" w:rsidRPr="00065D99" w:rsidRDefault="003F7CDA" w:rsidP="003A7EAA">
      <w:pPr>
        <w:pStyle w:val="FootnoteText"/>
        <w:rPr>
          <w:rFonts w:cs="Calibri"/>
          <w:sz w:val="16"/>
          <w:szCs w:val="16"/>
          <w:lang w:val="ka-GE"/>
        </w:rPr>
      </w:pPr>
      <w:r w:rsidRPr="00065D99">
        <w:rPr>
          <w:rStyle w:val="FootnoteReference"/>
          <w:rFonts w:cs="Calibri"/>
          <w:sz w:val="16"/>
          <w:szCs w:val="16"/>
        </w:rPr>
        <w:footnoteRef/>
      </w:r>
      <w:r w:rsidRPr="00065D99">
        <w:rPr>
          <w:rFonts w:cs="Calibri"/>
          <w:sz w:val="16"/>
          <w:szCs w:val="16"/>
        </w:rPr>
        <w:t xml:space="preserve"> </w:t>
      </w:r>
      <w:r w:rsidRPr="00065D99">
        <w:rPr>
          <w:rFonts w:cs="Calibri"/>
          <w:sz w:val="16"/>
          <w:szCs w:val="16"/>
          <w:lang w:val="ka-GE"/>
        </w:rPr>
        <w:t>რთული მფლობელობის და კონტროლის სტრუქტურად განიხილება სატრასტო ურთიერთობები, ნომინალური მფლობელობა, წარმომდგენზე ფასიანი ქაღალდები ან ორზე მეტი მფლობელობის/კონტროლის დონე.</w:t>
      </w:r>
    </w:p>
  </w:footnote>
  <w:footnote w:id="3">
    <w:p w14:paraId="1386FF81" w14:textId="77777777" w:rsidR="003F7CDA" w:rsidRPr="008413FF" w:rsidRDefault="003F7CDA" w:rsidP="003A7EAA">
      <w:pPr>
        <w:pStyle w:val="FootnoteText"/>
        <w:rPr>
          <w:sz w:val="16"/>
          <w:szCs w:val="16"/>
          <w:lang w:val="ka-GE"/>
        </w:rPr>
      </w:pPr>
      <w:r w:rsidRPr="008413FF">
        <w:rPr>
          <w:rStyle w:val="FootnoteReference"/>
          <w:sz w:val="16"/>
          <w:szCs w:val="16"/>
        </w:rPr>
        <w:footnoteRef/>
      </w:r>
      <w:r w:rsidRPr="008413FF">
        <w:rPr>
          <w:sz w:val="16"/>
          <w:szCs w:val="16"/>
        </w:rPr>
        <w:t xml:space="preserve"> </w:t>
      </w:r>
      <w:r w:rsidRPr="008413FF">
        <w:rPr>
          <w:sz w:val="16"/>
          <w:szCs w:val="16"/>
          <w:lang w:val="ka-GE"/>
        </w:rPr>
        <w:t>საქსტატის მონაცემები. არ მოიცავს დეველოპერული კომპანიების ბრუნვასაც.</w:t>
      </w:r>
    </w:p>
  </w:footnote>
  <w:footnote w:id="4">
    <w:p w14:paraId="3D04AD23" w14:textId="77777777" w:rsidR="003F7CDA" w:rsidRPr="008413FF" w:rsidRDefault="003F7CDA" w:rsidP="002C28FA">
      <w:pPr>
        <w:pStyle w:val="FootnoteText"/>
        <w:rPr>
          <w:sz w:val="16"/>
          <w:szCs w:val="16"/>
          <w:lang w:val="ka-GE"/>
        </w:rPr>
      </w:pPr>
      <w:r w:rsidRPr="008413FF">
        <w:rPr>
          <w:rStyle w:val="FootnoteReference"/>
          <w:sz w:val="16"/>
          <w:szCs w:val="16"/>
        </w:rPr>
        <w:footnoteRef/>
      </w:r>
      <w:r w:rsidRPr="008413FF">
        <w:rPr>
          <w:sz w:val="16"/>
          <w:szCs w:val="16"/>
        </w:rPr>
        <w:t xml:space="preserve"> </w:t>
      </w:r>
      <w:r w:rsidRPr="008413FF">
        <w:rPr>
          <w:sz w:val="16"/>
          <w:szCs w:val="16"/>
          <w:lang w:val="ka-GE"/>
        </w:rPr>
        <w:t>სსიპ სახელმწიფო სერვისების განვითარების სააგენტოს მონაცემები.</w:t>
      </w:r>
    </w:p>
  </w:footnote>
  <w:footnote w:id="5">
    <w:p w14:paraId="5AC9F70B" w14:textId="1BDCDD2B" w:rsidR="003F7CDA" w:rsidRDefault="003F7CDA">
      <w:pPr>
        <w:pStyle w:val="FootnoteText"/>
      </w:pPr>
      <w:r>
        <w:rPr>
          <w:rStyle w:val="FootnoteReference"/>
        </w:rPr>
        <w:footnoteRef/>
      </w:r>
      <w:r>
        <w:t xml:space="preserve"> </w:t>
      </w:r>
      <w:r w:rsidRPr="00996090">
        <w:t>სექტორის რეგულირების სიახლიდან გამომდინარე ამ თავში გამოყენებულია 2024 წლის მონაცემები</w:t>
      </w:r>
    </w:p>
  </w:footnote>
  <w:footnote w:id="6">
    <w:p w14:paraId="7772F72C" w14:textId="77777777" w:rsidR="003F7CDA" w:rsidRPr="001E10CA" w:rsidRDefault="003F7CDA" w:rsidP="00EB0602">
      <w:pPr>
        <w:pStyle w:val="FootnoteText"/>
        <w:rPr>
          <w:sz w:val="16"/>
          <w:szCs w:val="16"/>
        </w:rPr>
      </w:pPr>
      <w:r w:rsidRPr="001E10CA">
        <w:rPr>
          <w:rStyle w:val="FootnoteReference"/>
          <w:sz w:val="16"/>
          <w:szCs w:val="16"/>
        </w:rPr>
        <w:footnoteRef/>
      </w:r>
      <w:r w:rsidRPr="001E10CA">
        <w:rPr>
          <w:sz w:val="16"/>
          <w:szCs w:val="16"/>
        </w:rPr>
        <w:t xml:space="preserve"> Status of implementation of</w:t>
      </w:r>
      <w:r w:rsidRPr="001E10CA">
        <w:rPr>
          <w:sz w:val="16"/>
          <w:szCs w:val="16"/>
          <w:lang w:val="ka-GE"/>
        </w:rPr>
        <w:t xml:space="preserve"> </w:t>
      </w:r>
      <w:r w:rsidRPr="001E10CA">
        <w:rPr>
          <w:sz w:val="16"/>
          <w:szCs w:val="16"/>
        </w:rPr>
        <w:t>Recommendation 15 by</w:t>
      </w:r>
      <w:r w:rsidRPr="001E10CA">
        <w:rPr>
          <w:sz w:val="16"/>
          <w:szCs w:val="16"/>
          <w:lang w:val="ka-GE"/>
        </w:rPr>
        <w:t xml:space="preserve"> </w:t>
      </w:r>
      <w:r w:rsidRPr="001E10CA">
        <w:rPr>
          <w:sz w:val="16"/>
          <w:szCs w:val="16"/>
        </w:rPr>
        <w:t>FATF Members and</w:t>
      </w:r>
      <w:r w:rsidRPr="001E10CA">
        <w:rPr>
          <w:sz w:val="16"/>
          <w:szCs w:val="16"/>
          <w:lang w:val="ka-GE"/>
        </w:rPr>
        <w:t xml:space="preserve"> </w:t>
      </w:r>
      <w:r w:rsidRPr="001E10CA">
        <w:rPr>
          <w:sz w:val="16"/>
          <w:szCs w:val="16"/>
        </w:rPr>
        <w:t>Jurisdictions with Materially</w:t>
      </w:r>
      <w:r w:rsidRPr="001E10CA">
        <w:rPr>
          <w:sz w:val="16"/>
          <w:szCs w:val="16"/>
          <w:lang w:val="ka-GE"/>
        </w:rPr>
        <w:t xml:space="preserve"> </w:t>
      </w:r>
      <w:r w:rsidRPr="001E10CA">
        <w:rPr>
          <w:sz w:val="16"/>
          <w:szCs w:val="16"/>
        </w:rPr>
        <w:t>Important VASP Activity, FATF, March 2024</w:t>
      </w:r>
    </w:p>
  </w:footnote>
  <w:footnote w:id="7">
    <w:p w14:paraId="2B290A53" w14:textId="77777777" w:rsidR="003F7CDA" w:rsidRPr="001E10CA" w:rsidRDefault="003F7CDA" w:rsidP="00F5442A">
      <w:pPr>
        <w:autoSpaceDE w:val="0"/>
        <w:autoSpaceDN w:val="0"/>
        <w:jc w:val="both"/>
        <w:rPr>
          <w:rFonts w:asciiTheme="minorHAnsi" w:hAnsiTheme="minorHAnsi"/>
          <w:color w:val="00B050"/>
          <w:sz w:val="16"/>
          <w:szCs w:val="16"/>
        </w:rPr>
      </w:pPr>
      <w:r w:rsidRPr="001E10CA">
        <w:rPr>
          <w:rStyle w:val="FootnoteReference"/>
          <w:rFonts w:asciiTheme="minorHAnsi" w:hAnsiTheme="minorHAnsi"/>
          <w:sz w:val="16"/>
          <w:szCs w:val="16"/>
        </w:rPr>
        <w:footnoteRef/>
      </w:r>
      <w:r w:rsidRPr="001E10CA">
        <w:rPr>
          <w:rFonts w:asciiTheme="minorHAnsi" w:hAnsiTheme="minorHAnsi"/>
          <w:sz w:val="16"/>
          <w:szCs w:val="16"/>
        </w:rPr>
        <w:t xml:space="preserve"> 2024 წლის 21 მაისის მონაცემებით. იხილეთ, ვირტუალური აქტივის მომსახურების პროვაიდერების (VASPs) რეესტრი- </w:t>
      </w:r>
      <w:hyperlink r:id="rId1" w:history="1">
        <w:r w:rsidRPr="001E10CA">
          <w:rPr>
            <w:rStyle w:val="Hyperlink"/>
            <w:rFonts w:asciiTheme="minorHAnsi" w:eastAsiaTheme="majorEastAsia" w:hAnsiTheme="minorHAnsi"/>
            <w:color w:val="auto"/>
            <w:sz w:val="16"/>
            <w:szCs w:val="16"/>
          </w:rPr>
          <w:t>https://nbg.gov.ge/page/ვირტუალური აქტივის მომსახურების პროვაიდერები</w:t>
        </w:r>
      </w:hyperlink>
      <w:r w:rsidRPr="001E10CA">
        <w:rPr>
          <w:rStyle w:val="Hyperlink"/>
          <w:rFonts w:asciiTheme="minorHAnsi" w:eastAsiaTheme="majorEastAsia" w:hAnsiTheme="minorHAnsi"/>
          <w:color w:val="auto"/>
          <w:sz w:val="16"/>
          <w:szCs w:val="16"/>
        </w:rPr>
        <w:t>)</w:t>
      </w:r>
    </w:p>
    <w:p w14:paraId="607DD523" w14:textId="77777777" w:rsidR="003F7CDA" w:rsidRPr="001E10CA" w:rsidRDefault="003F7CDA" w:rsidP="00F5442A">
      <w:pPr>
        <w:pStyle w:val="FootnoteText"/>
        <w:rPr>
          <w:rFonts w:cs="Calibri"/>
          <w:color w:val="00B050"/>
          <w:sz w:val="16"/>
          <w:szCs w:val="16"/>
          <w:lang w:val="ka-GE"/>
        </w:rPr>
      </w:pPr>
    </w:p>
  </w:footnote>
  <w:footnote w:id="8">
    <w:p w14:paraId="39078A2D" w14:textId="77777777" w:rsidR="003F7CDA" w:rsidRPr="001E10CA" w:rsidRDefault="003F7CDA" w:rsidP="00433827">
      <w:pPr>
        <w:pStyle w:val="FootnoteText"/>
        <w:rPr>
          <w:sz w:val="16"/>
          <w:szCs w:val="16"/>
          <w:lang w:val="ka-GE"/>
        </w:rPr>
      </w:pPr>
      <w:r w:rsidRPr="001E10CA">
        <w:rPr>
          <w:rStyle w:val="FootnoteReference"/>
          <w:sz w:val="16"/>
          <w:szCs w:val="16"/>
        </w:rPr>
        <w:footnoteRef/>
      </w:r>
      <w:r w:rsidRPr="001E10CA">
        <w:rPr>
          <w:sz w:val="16"/>
          <w:szCs w:val="16"/>
          <w:lang w:val="ka-GE"/>
        </w:rPr>
        <w:t xml:space="preserve"> წყარო: მონაცემები მოცემულია სარეგისტრაციო განაცხადების მიხედვით</w:t>
      </w:r>
    </w:p>
  </w:footnote>
  <w:footnote w:id="9">
    <w:p w14:paraId="005438D2" w14:textId="77777777" w:rsidR="003F7CDA" w:rsidRPr="001E10CA" w:rsidRDefault="003F7CDA" w:rsidP="002269D9">
      <w:pPr>
        <w:pStyle w:val="FootnoteText"/>
        <w:jc w:val="both"/>
        <w:rPr>
          <w:rFonts w:cs="Calibri"/>
          <w:sz w:val="16"/>
          <w:szCs w:val="16"/>
          <w:lang w:val="ka-GE"/>
        </w:rPr>
      </w:pPr>
      <w:r w:rsidRPr="001E10CA">
        <w:rPr>
          <w:rStyle w:val="FootnoteReference"/>
          <w:rFonts w:cs="Calibri"/>
          <w:sz w:val="16"/>
          <w:szCs w:val="16"/>
        </w:rPr>
        <w:footnoteRef/>
      </w:r>
      <w:r w:rsidRPr="001E10CA">
        <w:rPr>
          <w:rFonts w:cs="Calibri"/>
          <w:sz w:val="16"/>
          <w:szCs w:val="16"/>
          <w:lang w:val="ka-GE"/>
        </w:rPr>
        <w:t xml:space="preserve"> ვირტუალური აქტივის მომსახურების პროვაიდერების მიერ, ვირტუალური აქტივის გადაცემის ან/და მიღებისას თანმხლები ინფორმაციის მიმოცვლის წესები. </w:t>
      </w:r>
    </w:p>
  </w:footnote>
  <w:footnote w:id="10">
    <w:p w14:paraId="54A2F29F" w14:textId="77777777" w:rsidR="003F7CDA" w:rsidRPr="008E76D6" w:rsidRDefault="003F7CDA" w:rsidP="007E2B0E">
      <w:pPr>
        <w:pStyle w:val="FootnoteText"/>
        <w:rPr>
          <w:rFonts w:cs="Calibri"/>
          <w:sz w:val="16"/>
          <w:szCs w:val="16"/>
          <w:lang w:val="ka-GE"/>
        </w:rPr>
      </w:pPr>
      <w:r w:rsidRPr="008E76D6">
        <w:rPr>
          <w:rStyle w:val="FootnoteReference"/>
          <w:rFonts w:cs="Calibri"/>
          <w:sz w:val="16"/>
          <w:szCs w:val="16"/>
        </w:rPr>
        <w:footnoteRef/>
      </w:r>
      <w:r w:rsidRPr="008E76D6">
        <w:rPr>
          <w:rFonts w:cs="Calibri"/>
          <w:sz w:val="16"/>
          <w:szCs w:val="16"/>
          <w:lang w:val="ka-GE"/>
        </w:rPr>
        <w:t xml:space="preserve"> Targeted Update On Implementation of the FATF Standards On Virtual Assets and Virtual Asset Service Providers, FATF, June 2023</w:t>
      </w:r>
    </w:p>
  </w:footnote>
  <w:footnote w:id="11">
    <w:p w14:paraId="22942E5E" w14:textId="53C861CC" w:rsidR="003F7CDA" w:rsidRPr="008E76D6" w:rsidRDefault="003F7CDA" w:rsidP="00D2327B">
      <w:pPr>
        <w:pStyle w:val="FootnoteText"/>
        <w:rPr>
          <w:rFonts w:cs="Calibri"/>
          <w:sz w:val="16"/>
          <w:szCs w:val="16"/>
        </w:rPr>
      </w:pPr>
      <w:r w:rsidRPr="008E76D6">
        <w:rPr>
          <w:rStyle w:val="FootnoteReference"/>
          <w:rFonts w:cs="Calibri"/>
          <w:sz w:val="16"/>
          <w:szCs w:val="16"/>
        </w:rPr>
        <w:footnoteRef/>
      </w:r>
      <w:r w:rsidRPr="008E76D6">
        <w:rPr>
          <w:rFonts w:cs="Calibri"/>
          <w:sz w:val="16"/>
          <w:szCs w:val="16"/>
          <w:lang w:val="ka-GE"/>
        </w:rPr>
        <w:t xml:space="preserve"> </w:t>
      </w:r>
      <w:r w:rsidRPr="008E76D6">
        <w:rPr>
          <w:rFonts w:cs="Calibri"/>
          <w:sz w:val="16"/>
          <w:szCs w:val="16"/>
        </w:rPr>
        <w:t xml:space="preserve">Typologies in Focus: the threat of cross-chain crime, Elliptic (23 October 2023). Accessible at: </w:t>
      </w:r>
      <w:hyperlink r:id="rId2" w:anchor=":~:text=A%20criminal%20uses%20a%20cross,known%20as%20%E2%80%9Cchain%20hopping%E2%80%9D" w:history="1">
        <w:r w:rsidRPr="008E76D6">
          <w:rPr>
            <w:rStyle w:val="Hyperlink"/>
            <w:rFonts w:cs="Calibri"/>
            <w:sz w:val="16"/>
            <w:szCs w:val="16"/>
          </w:rPr>
          <w:t>https://www.elliptic.co/blog/typologies-in-focus-the-threat-of-cross-chain-crime#:~:text=A%20criminal%20uses%20a%20cross,known%20as%20%E2%80%9Cchain%20hopping%E2%80%9D</w:t>
        </w:r>
      </w:hyperlink>
      <w:r w:rsidRPr="008E76D6">
        <w:rPr>
          <w:rFonts w:cs="Calibri"/>
          <w:sz w:val="16"/>
          <w:szCs w:val="16"/>
        </w:rPr>
        <w:t xml:space="preserve">. </w:t>
      </w:r>
    </w:p>
  </w:footnote>
  <w:footnote w:id="12">
    <w:p w14:paraId="29C37ECD" w14:textId="77777777" w:rsidR="003F7CDA" w:rsidRPr="00600F0D" w:rsidRDefault="003F7CDA" w:rsidP="00D2327B">
      <w:pPr>
        <w:pStyle w:val="FootnoteText"/>
        <w:rPr>
          <w:sz w:val="16"/>
          <w:szCs w:val="16"/>
        </w:rPr>
      </w:pPr>
      <w:r w:rsidRPr="00600F0D">
        <w:rPr>
          <w:rStyle w:val="FootnoteReference"/>
          <w:rFonts w:cs="Calibri"/>
          <w:sz w:val="16"/>
          <w:szCs w:val="16"/>
        </w:rPr>
        <w:footnoteRef/>
      </w:r>
      <w:r w:rsidRPr="00600F0D">
        <w:rPr>
          <w:rFonts w:cs="Calibri"/>
          <w:sz w:val="16"/>
          <w:szCs w:val="16"/>
        </w:rPr>
        <w:t xml:space="preserve"> The State of Cross-chain</w:t>
      </w:r>
      <w:r w:rsidRPr="00600F0D">
        <w:rPr>
          <w:rFonts w:cs="Calibri"/>
          <w:sz w:val="16"/>
          <w:szCs w:val="16"/>
          <w:lang w:val="ka-GE"/>
        </w:rPr>
        <w:t xml:space="preserve"> </w:t>
      </w:r>
      <w:r w:rsidRPr="00600F0D">
        <w:rPr>
          <w:rFonts w:cs="Calibri"/>
          <w:sz w:val="16"/>
          <w:szCs w:val="16"/>
        </w:rPr>
        <w:t>Crime</w:t>
      </w:r>
      <w:r w:rsidRPr="00600F0D">
        <w:rPr>
          <w:rFonts w:cs="Calibri"/>
          <w:sz w:val="16"/>
          <w:szCs w:val="16"/>
          <w:lang w:val="ka-GE"/>
        </w:rPr>
        <w:t xml:space="preserve">, </w:t>
      </w:r>
      <w:r w:rsidRPr="00600F0D">
        <w:rPr>
          <w:rFonts w:cs="Calibri"/>
          <w:sz w:val="16"/>
          <w:szCs w:val="16"/>
        </w:rPr>
        <w:t>Elliptic Report, 2023</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E0604"/>
    <w:multiLevelType w:val="hybridMultilevel"/>
    <w:tmpl w:val="D4402E9E"/>
    <w:lvl w:ilvl="0" w:tplc="04090005">
      <w:start w:val="1"/>
      <w:numFmt w:val="bullet"/>
      <w:lvlText w:val=""/>
      <w:lvlJc w:val="left"/>
      <w:pPr>
        <w:ind w:left="1080" w:hanging="360"/>
      </w:pPr>
      <w:rPr>
        <w:rFonts w:ascii="Wingdings" w:hAnsi="Wingdings" w:hint="default"/>
      </w:rPr>
    </w:lvl>
    <w:lvl w:ilvl="1" w:tplc="04370003" w:tentative="1">
      <w:start w:val="1"/>
      <w:numFmt w:val="bullet"/>
      <w:lvlText w:val="o"/>
      <w:lvlJc w:val="left"/>
      <w:pPr>
        <w:ind w:left="1800" w:hanging="360"/>
      </w:pPr>
      <w:rPr>
        <w:rFonts w:ascii="Courier New" w:hAnsi="Courier New" w:cs="Courier New" w:hint="default"/>
      </w:rPr>
    </w:lvl>
    <w:lvl w:ilvl="2" w:tplc="04370005" w:tentative="1">
      <w:start w:val="1"/>
      <w:numFmt w:val="bullet"/>
      <w:lvlText w:val=""/>
      <w:lvlJc w:val="left"/>
      <w:pPr>
        <w:ind w:left="2520" w:hanging="360"/>
      </w:pPr>
      <w:rPr>
        <w:rFonts w:ascii="Wingdings" w:hAnsi="Wingdings" w:hint="default"/>
      </w:rPr>
    </w:lvl>
    <w:lvl w:ilvl="3" w:tplc="04370001" w:tentative="1">
      <w:start w:val="1"/>
      <w:numFmt w:val="bullet"/>
      <w:lvlText w:val=""/>
      <w:lvlJc w:val="left"/>
      <w:pPr>
        <w:ind w:left="3240" w:hanging="360"/>
      </w:pPr>
      <w:rPr>
        <w:rFonts w:ascii="Symbol" w:hAnsi="Symbol" w:hint="default"/>
      </w:rPr>
    </w:lvl>
    <w:lvl w:ilvl="4" w:tplc="04370003" w:tentative="1">
      <w:start w:val="1"/>
      <w:numFmt w:val="bullet"/>
      <w:lvlText w:val="o"/>
      <w:lvlJc w:val="left"/>
      <w:pPr>
        <w:ind w:left="3960" w:hanging="360"/>
      </w:pPr>
      <w:rPr>
        <w:rFonts w:ascii="Courier New" w:hAnsi="Courier New" w:cs="Courier New" w:hint="default"/>
      </w:rPr>
    </w:lvl>
    <w:lvl w:ilvl="5" w:tplc="04370005" w:tentative="1">
      <w:start w:val="1"/>
      <w:numFmt w:val="bullet"/>
      <w:lvlText w:val=""/>
      <w:lvlJc w:val="left"/>
      <w:pPr>
        <w:ind w:left="4680" w:hanging="360"/>
      </w:pPr>
      <w:rPr>
        <w:rFonts w:ascii="Wingdings" w:hAnsi="Wingdings" w:hint="default"/>
      </w:rPr>
    </w:lvl>
    <w:lvl w:ilvl="6" w:tplc="04370001" w:tentative="1">
      <w:start w:val="1"/>
      <w:numFmt w:val="bullet"/>
      <w:lvlText w:val=""/>
      <w:lvlJc w:val="left"/>
      <w:pPr>
        <w:ind w:left="5400" w:hanging="360"/>
      </w:pPr>
      <w:rPr>
        <w:rFonts w:ascii="Symbol" w:hAnsi="Symbol" w:hint="default"/>
      </w:rPr>
    </w:lvl>
    <w:lvl w:ilvl="7" w:tplc="04370003" w:tentative="1">
      <w:start w:val="1"/>
      <w:numFmt w:val="bullet"/>
      <w:lvlText w:val="o"/>
      <w:lvlJc w:val="left"/>
      <w:pPr>
        <w:ind w:left="6120" w:hanging="360"/>
      </w:pPr>
      <w:rPr>
        <w:rFonts w:ascii="Courier New" w:hAnsi="Courier New" w:cs="Courier New" w:hint="default"/>
      </w:rPr>
    </w:lvl>
    <w:lvl w:ilvl="8" w:tplc="04370005" w:tentative="1">
      <w:start w:val="1"/>
      <w:numFmt w:val="bullet"/>
      <w:lvlText w:val=""/>
      <w:lvlJc w:val="left"/>
      <w:pPr>
        <w:ind w:left="6840" w:hanging="360"/>
      </w:pPr>
      <w:rPr>
        <w:rFonts w:ascii="Wingdings" w:hAnsi="Wingdings" w:hint="default"/>
      </w:rPr>
    </w:lvl>
  </w:abstractNum>
  <w:abstractNum w:abstractNumId="1" w15:restartNumberingAfterBreak="0">
    <w:nsid w:val="21CE1D21"/>
    <w:multiLevelType w:val="hybridMultilevel"/>
    <w:tmpl w:val="3FAE8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E96AAD"/>
    <w:multiLevelType w:val="hybridMultilevel"/>
    <w:tmpl w:val="6C14CE7A"/>
    <w:lvl w:ilvl="0" w:tplc="1D2A32A0">
      <w:numFmt w:val="bullet"/>
      <w:lvlText w:val=""/>
      <w:lvlJc w:val="left"/>
      <w:pPr>
        <w:ind w:left="720" w:hanging="360"/>
      </w:pPr>
      <w:rPr>
        <w:rFonts w:ascii="Symbol" w:eastAsia="Calibri" w:hAnsi="Symbol" w:hint="default"/>
        <w:b/>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B870B8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3AF6E04"/>
    <w:multiLevelType w:val="hybridMultilevel"/>
    <w:tmpl w:val="B56A1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AB5F14"/>
    <w:multiLevelType w:val="hybridMultilevel"/>
    <w:tmpl w:val="8DEAC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79646F"/>
    <w:multiLevelType w:val="hybridMultilevel"/>
    <w:tmpl w:val="7F206DA4"/>
    <w:lvl w:ilvl="0" w:tplc="04090005">
      <w:start w:val="1"/>
      <w:numFmt w:val="bullet"/>
      <w:lvlText w:val=""/>
      <w:lvlJc w:val="left"/>
      <w:pPr>
        <w:ind w:left="720" w:hanging="360"/>
      </w:pPr>
      <w:rPr>
        <w:rFonts w:ascii="Wingdings" w:hAnsi="Wingdings"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7" w15:restartNumberingAfterBreak="0">
    <w:nsid w:val="3CBE7746"/>
    <w:multiLevelType w:val="hybridMultilevel"/>
    <w:tmpl w:val="07024898"/>
    <w:lvl w:ilvl="0" w:tplc="04090005">
      <w:start w:val="1"/>
      <w:numFmt w:val="bullet"/>
      <w:lvlText w:val=""/>
      <w:lvlJc w:val="left"/>
      <w:pPr>
        <w:ind w:left="1080" w:hanging="360"/>
      </w:pPr>
      <w:rPr>
        <w:rFonts w:ascii="Wingdings" w:hAnsi="Wingdings" w:hint="default"/>
      </w:rPr>
    </w:lvl>
    <w:lvl w:ilvl="1" w:tplc="04370003" w:tentative="1">
      <w:start w:val="1"/>
      <w:numFmt w:val="bullet"/>
      <w:lvlText w:val="o"/>
      <w:lvlJc w:val="left"/>
      <w:pPr>
        <w:ind w:left="1800" w:hanging="360"/>
      </w:pPr>
      <w:rPr>
        <w:rFonts w:ascii="Courier New" w:hAnsi="Courier New" w:cs="Courier New" w:hint="default"/>
      </w:rPr>
    </w:lvl>
    <w:lvl w:ilvl="2" w:tplc="04370005" w:tentative="1">
      <w:start w:val="1"/>
      <w:numFmt w:val="bullet"/>
      <w:lvlText w:val=""/>
      <w:lvlJc w:val="left"/>
      <w:pPr>
        <w:ind w:left="2520" w:hanging="360"/>
      </w:pPr>
      <w:rPr>
        <w:rFonts w:ascii="Wingdings" w:hAnsi="Wingdings" w:hint="default"/>
      </w:rPr>
    </w:lvl>
    <w:lvl w:ilvl="3" w:tplc="04370001" w:tentative="1">
      <w:start w:val="1"/>
      <w:numFmt w:val="bullet"/>
      <w:lvlText w:val=""/>
      <w:lvlJc w:val="left"/>
      <w:pPr>
        <w:ind w:left="3240" w:hanging="360"/>
      </w:pPr>
      <w:rPr>
        <w:rFonts w:ascii="Symbol" w:hAnsi="Symbol" w:hint="default"/>
      </w:rPr>
    </w:lvl>
    <w:lvl w:ilvl="4" w:tplc="04370003" w:tentative="1">
      <w:start w:val="1"/>
      <w:numFmt w:val="bullet"/>
      <w:lvlText w:val="o"/>
      <w:lvlJc w:val="left"/>
      <w:pPr>
        <w:ind w:left="3960" w:hanging="360"/>
      </w:pPr>
      <w:rPr>
        <w:rFonts w:ascii="Courier New" w:hAnsi="Courier New" w:cs="Courier New" w:hint="default"/>
      </w:rPr>
    </w:lvl>
    <w:lvl w:ilvl="5" w:tplc="04370005" w:tentative="1">
      <w:start w:val="1"/>
      <w:numFmt w:val="bullet"/>
      <w:lvlText w:val=""/>
      <w:lvlJc w:val="left"/>
      <w:pPr>
        <w:ind w:left="4680" w:hanging="360"/>
      </w:pPr>
      <w:rPr>
        <w:rFonts w:ascii="Wingdings" w:hAnsi="Wingdings" w:hint="default"/>
      </w:rPr>
    </w:lvl>
    <w:lvl w:ilvl="6" w:tplc="04370001" w:tentative="1">
      <w:start w:val="1"/>
      <w:numFmt w:val="bullet"/>
      <w:lvlText w:val=""/>
      <w:lvlJc w:val="left"/>
      <w:pPr>
        <w:ind w:left="5400" w:hanging="360"/>
      </w:pPr>
      <w:rPr>
        <w:rFonts w:ascii="Symbol" w:hAnsi="Symbol" w:hint="default"/>
      </w:rPr>
    </w:lvl>
    <w:lvl w:ilvl="7" w:tplc="04370003" w:tentative="1">
      <w:start w:val="1"/>
      <w:numFmt w:val="bullet"/>
      <w:lvlText w:val="o"/>
      <w:lvlJc w:val="left"/>
      <w:pPr>
        <w:ind w:left="6120" w:hanging="360"/>
      </w:pPr>
      <w:rPr>
        <w:rFonts w:ascii="Courier New" w:hAnsi="Courier New" w:cs="Courier New" w:hint="default"/>
      </w:rPr>
    </w:lvl>
    <w:lvl w:ilvl="8" w:tplc="04370005" w:tentative="1">
      <w:start w:val="1"/>
      <w:numFmt w:val="bullet"/>
      <w:lvlText w:val=""/>
      <w:lvlJc w:val="left"/>
      <w:pPr>
        <w:ind w:left="6840" w:hanging="360"/>
      </w:pPr>
      <w:rPr>
        <w:rFonts w:ascii="Wingdings" w:hAnsi="Wingdings" w:hint="default"/>
      </w:rPr>
    </w:lvl>
  </w:abstractNum>
  <w:abstractNum w:abstractNumId="8" w15:restartNumberingAfterBreak="0">
    <w:nsid w:val="411C15A0"/>
    <w:multiLevelType w:val="hybridMultilevel"/>
    <w:tmpl w:val="BA9C8452"/>
    <w:lvl w:ilvl="0" w:tplc="04090005">
      <w:start w:val="1"/>
      <w:numFmt w:val="bullet"/>
      <w:lvlText w:val=""/>
      <w:lvlJc w:val="left"/>
      <w:pPr>
        <w:ind w:left="720" w:hanging="360"/>
      </w:pPr>
      <w:rPr>
        <w:rFonts w:ascii="Wingdings" w:hAnsi="Wingdings"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9" w15:restartNumberingAfterBreak="0">
    <w:nsid w:val="4286581C"/>
    <w:multiLevelType w:val="multilevel"/>
    <w:tmpl w:val="2B744910"/>
    <w:lvl w:ilvl="0">
      <w:start w:val="1"/>
      <w:numFmt w:val="decimal"/>
      <w:lvlText w:val="%1."/>
      <w:lvlJc w:val="left"/>
      <w:pPr>
        <w:ind w:left="810" w:hanging="360"/>
      </w:pPr>
      <w:rPr>
        <w:rFonts w:hint="default"/>
      </w:rPr>
    </w:lvl>
    <w:lvl w:ilvl="1">
      <w:start w:val="1"/>
      <w:numFmt w:val="decimal"/>
      <w:isLgl/>
      <w:lvlText w:val="%1.%2."/>
      <w:lvlJc w:val="left"/>
      <w:pPr>
        <w:ind w:left="810" w:hanging="36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170" w:hanging="72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530" w:hanging="108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1890" w:hanging="1440"/>
      </w:pPr>
      <w:rPr>
        <w:rFonts w:hint="default"/>
      </w:rPr>
    </w:lvl>
    <w:lvl w:ilvl="8">
      <w:start w:val="1"/>
      <w:numFmt w:val="decimal"/>
      <w:isLgl/>
      <w:lvlText w:val="%1.%2.%3.%4.%5.%6.%7.%8.%9."/>
      <w:lvlJc w:val="left"/>
      <w:pPr>
        <w:ind w:left="2250" w:hanging="1800"/>
      </w:pPr>
      <w:rPr>
        <w:rFonts w:hint="default"/>
      </w:rPr>
    </w:lvl>
  </w:abstractNum>
  <w:abstractNum w:abstractNumId="10" w15:restartNumberingAfterBreak="0">
    <w:nsid w:val="43FE25B4"/>
    <w:multiLevelType w:val="hybridMultilevel"/>
    <w:tmpl w:val="2B00F5C2"/>
    <w:lvl w:ilvl="0" w:tplc="04090005">
      <w:start w:val="1"/>
      <w:numFmt w:val="bullet"/>
      <w:lvlText w:val=""/>
      <w:lvlJc w:val="left"/>
      <w:pPr>
        <w:ind w:left="720" w:hanging="360"/>
      </w:pPr>
      <w:rPr>
        <w:rFonts w:ascii="Wingdings" w:hAnsi="Wingdings"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11" w15:restartNumberingAfterBreak="0">
    <w:nsid w:val="47A07AA5"/>
    <w:multiLevelType w:val="hybridMultilevel"/>
    <w:tmpl w:val="A0462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3065E"/>
    <w:multiLevelType w:val="hybridMultilevel"/>
    <w:tmpl w:val="DEF05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7324F6C"/>
    <w:multiLevelType w:val="multilevel"/>
    <w:tmpl w:val="BAB07E88"/>
    <w:lvl w:ilvl="0">
      <w:start w:val="4"/>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B4F2640"/>
    <w:multiLevelType w:val="hybridMultilevel"/>
    <w:tmpl w:val="950ED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2379C1"/>
    <w:multiLevelType w:val="hybridMultilevel"/>
    <w:tmpl w:val="73D89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7697A3B"/>
    <w:multiLevelType w:val="hybridMultilevel"/>
    <w:tmpl w:val="EC7AC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DAD45DB"/>
    <w:multiLevelType w:val="hybridMultilevel"/>
    <w:tmpl w:val="DFE883A0"/>
    <w:lvl w:ilvl="0" w:tplc="025E4BF8">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74537458"/>
    <w:multiLevelType w:val="hybridMultilevel"/>
    <w:tmpl w:val="53F8A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7BF353B"/>
    <w:multiLevelType w:val="multilevel"/>
    <w:tmpl w:val="8A74FA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DB71B53"/>
    <w:multiLevelType w:val="hybridMultilevel"/>
    <w:tmpl w:val="0840FE18"/>
    <w:lvl w:ilvl="0" w:tplc="04090005">
      <w:start w:val="1"/>
      <w:numFmt w:val="bullet"/>
      <w:lvlText w:val=""/>
      <w:lvlJc w:val="left"/>
      <w:pPr>
        <w:ind w:left="720" w:hanging="360"/>
      </w:pPr>
      <w:rPr>
        <w:rFonts w:ascii="Wingdings" w:hAnsi="Wingdings"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20"/>
  </w:num>
  <w:num w:numId="4">
    <w:abstractNumId w:val="0"/>
  </w:num>
  <w:num w:numId="5">
    <w:abstractNumId w:val="8"/>
  </w:num>
  <w:num w:numId="6">
    <w:abstractNumId w:val="7"/>
  </w:num>
  <w:num w:numId="7">
    <w:abstractNumId w:val="17"/>
  </w:num>
  <w:num w:numId="8">
    <w:abstractNumId w:val="2"/>
  </w:num>
  <w:num w:numId="9">
    <w:abstractNumId w:val="16"/>
  </w:num>
  <w:num w:numId="10">
    <w:abstractNumId w:val="15"/>
  </w:num>
  <w:num w:numId="11">
    <w:abstractNumId w:val="3"/>
  </w:num>
  <w:num w:numId="12">
    <w:abstractNumId w:val="4"/>
  </w:num>
  <w:num w:numId="13">
    <w:abstractNumId w:val="1"/>
  </w:num>
  <w:num w:numId="14">
    <w:abstractNumId w:val="11"/>
  </w:num>
  <w:num w:numId="15">
    <w:abstractNumId w:val="18"/>
  </w:num>
  <w:num w:numId="16">
    <w:abstractNumId w:val="5"/>
  </w:num>
  <w:num w:numId="17">
    <w:abstractNumId w:val="12"/>
  </w:num>
  <w:num w:numId="18">
    <w:abstractNumId w:val="14"/>
  </w:num>
  <w:num w:numId="19">
    <w:abstractNumId w:val="9"/>
  </w:num>
  <w:num w:numId="20">
    <w:abstractNumId w:val="19"/>
  </w:num>
  <w:num w:numId="21">
    <w:abstractNumId w:val="13"/>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EAA"/>
    <w:rsid w:val="00007995"/>
    <w:rsid w:val="000124AF"/>
    <w:rsid w:val="00012C7F"/>
    <w:rsid w:val="00012C82"/>
    <w:rsid w:val="00017DA7"/>
    <w:rsid w:val="00020425"/>
    <w:rsid w:val="00027AA5"/>
    <w:rsid w:val="00027E26"/>
    <w:rsid w:val="000364C1"/>
    <w:rsid w:val="00040735"/>
    <w:rsid w:val="000467AB"/>
    <w:rsid w:val="0005198F"/>
    <w:rsid w:val="00057CA0"/>
    <w:rsid w:val="000623E6"/>
    <w:rsid w:val="0006355B"/>
    <w:rsid w:val="00065D99"/>
    <w:rsid w:val="000672BB"/>
    <w:rsid w:val="000701E8"/>
    <w:rsid w:val="000704BC"/>
    <w:rsid w:val="00072496"/>
    <w:rsid w:val="00073B01"/>
    <w:rsid w:val="00081F3F"/>
    <w:rsid w:val="00082391"/>
    <w:rsid w:val="000A3289"/>
    <w:rsid w:val="000B2832"/>
    <w:rsid w:val="000D00D7"/>
    <w:rsid w:val="000F096D"/>
    <w:rsid w:val="000F43C4"/>
    <w:rsid w:val="00100AAE"/>
    <w:rsid w:val="0010768A"/>
    <w:rsid w:val="00114344"/>
    <w:rsid w:val="0011631C"/>
    <w:rsid w:val="00117EC5"/>
    <w:rsid w:val="00121489"/>
    <w:rsid w:val="00134E61"/>
    <w:rsid w:val="00155850"/>
    <w:rsid w:val="001679EF"/>
    <w:rsid w:val="00176C72"/>
    <w:rsid w:val="00180EEB"/>
    <w:rsid w:val="001922B9"/>
    <w:rsid w:val="001A26EE"/>
    <w:rsid w:val="001A340A"/>
    <w:rsid w:val="001A5FED"/>
    <w:rsid w:val="001B3F67"/>
    <w:rsid w:val="001C15AD"/>
    <w:rsid w:val="001C5BB1"/>
    <w:rsid w:val="001D59F0"/>
    <w:rsid w:val="001E0D3A"/>
    <w:rsid w:val="001E10CA"/>
    <w:rsid w:val="001E30A5"/>
    <w:rsid w:val="001E4137"/>
    <w:rsid w:val="001E5B20"/>
    <w:rsid w:val="001F1971"/>
    <w:rsid w:val="00200F3B"/>
    <w:rsid w:val="00211C18"/>
    <w:rsid w:val="0022125E"/>
    <w:rsid w:val="002269D9"/>
    <w:rsid w:val="002405DD"/>
    <w:rsid w:val="0024171E"/>
    <w:rsid w:val="002423D8"/>
    <w:rsid w:val="002510ED"/>
    <w:rsid w:val="002571E9"/>
    <w:rsid w:val="002641AF"/>
    <w:rsid w:val="00266650"/>
    <w:rsid w:val="00267FF9"/>
    <w:rsid w:val="00276D73"/>
    <w:rsid w:val="00291550"/>
    <w:rsid w:val="002B59EA"/>
    <w:rsid w:val="002C28FA"/>
    <w:rsid w:val="002C2F7D"/>
    <w:rsid w:val="002D2E90"/>
    <w:rsid w:val="002E1AEE"/>
    <w:rsid w:val="002E566C"/>
    <w:rsid w:val="0030687A"/>
    <w:rsid w:val="00317DF7"/>
    <w:rsid w:val="003202B6"/>
    <w:rsid w:val="003228B4"/>
    <w:rsid w:val="00356124"/>
    <w:rsid w:val="00367742"/>
    <w:rsid w:val="00373717"/>
    <w:rsid w:val="00373AA3"/>
    <w:rsid w:val="00384C3A"/>
    <w:rsid w:val="003A0465"/>
    <w:rsid w:val="003A7EAA"/>
    <w:rsid w:val="003B0BD3"/>
    <w:rsid w:val="003C3005"/>
    <w:rsid w:val="003D0D19"/>
    <w:rsid w:val="003E12B2"/>
    <w:rsid w:val="003E3540"/>
    <w:rsid w:val="003E5B94"/>
    <w:rsid w:val="003F67FD"/>
    <w:rsid w:val="003F7CDA"/>
    <w:rsid w:val="00403BDD"/>
    <w:rsid w:val="0042384C"/>
    <w:rsid w:val="0043188E"/>
    <w:rsid w:val="00433827"/>
    <w:rsid w:val="00437A4B"/>
    <w:rsid w:val="0045496A"/>
    <w:rsid w:val="00471758"/>
    <w:rsid w:val="00476E5C"/>
    <w:rsid w:val="004818F6"/>
    <w:rsid w:val="004933A6"/>
    <w:rsid w:val="004A1A29"/>
    <w:rsid w:val="004C184E"/>
    <w:rsid w:val="004C453A"/>
    <w:rsid w:val="004D005D"/>
    <w:rsid w:val="004D7574"/>
    <w:rsid w:val="00500708"/>
    <w:rsid w:val="005025A2"/>
    <w:rsid w:val="00507840"/>
    <w:rsid w:val="00514A39"/>
    <w:rsid w:val="00523D0E"/>
    <w:rsid w:val="00526113"/>
    <w:rsid w:val="005415CC"/>
    <w:rsid w:val="005521F9"/>
    <w:rsid w:val="00553127"/>
    <w:rsid w:val="005551DD"/>
    <w:rsid w:val="005650C4"/>
    <w:rsid w:val="005733F0"/>
    <w:rsid w:val="005735CE"/>
    <w:rsid w:val="0057512E"/>
    <w:rsid w:val="00582105"/>
    <w:rsid w:val="0059642F"/>
    <w:rsid w:val="005C77D5"/>
    <w:rsid w:val="005D1394"/>
    <w:rsid w:val="005D52CC"/>
    <w:rsid w:val="005F5C2D"/>
    <w:rsid w:val="005F6FC5"/>
    <w:rsid w:val="00600F0D"/>
    <w:rsid w:val="00632B43"/>
    <w:rsid w:val="0066295D"/>
    <w:rsid w:val="00665F78"/>
    <w:rsid w:val="00666A19"/>
    <w:rsid w:val="00680D26"/>
    <w:rsid w:val="00681880"/>
    <w:rsid w:val="006A3231"/>
    <w:rsid w:val="006A5627"/>
    <w:rsid w:val="006A75D7"/>
    <w:rsid w:val="006A7A4C"/>
    <w:rsid w:val="006B5F49"/>
    <w:rsid w:val="006C48E7"/>
    <w:rsid w:val="006C78A1"/>
    <w:rsid w:val="006F0716"/>
    <w:rsid w:val="006F49A9"/>
    <w:rsid w:val="006F795E"/>
    <w:rsid w:val="0071304E"/>
    <w:rsid w:val="00714E25"/>
    <w:rsid w:val="0072097A"/>
    <w:rsid w:val="0072344B"/>
    <w:rsid w:val="00732713"/>
    <w:rsid w:val="00733364"/>
    <w:rsid w:val="00734CD7"/>
    <w:rsid w:val="00746974"/>
    <w:rsid w:val="00754674"/>
    <w:rsid w:val="00795BAB"/>
    <w:rsid w:val="00796B60"/>
    <w:rsid w:val="007A5395"/>
    <w:rsid w:val="007A5AA4"/>
    <w:rsid w:val="007A72A8"/>
    <w:rsid w:val="007B177A"/>
    <w:rsid w:val="007C6D2C"/>
    <w:rsid w:val="007D3235"/>
    <w:rsid w:val="007D5511"/>
    <w:rsid w:val="007D79CA"/>
    <w:rsid w:val="007E2B0E"/>
    <w:rsid w:val="007E4E23"/>
    <w:rsid w:val="007E5012"/>
    <w:rsid w:val="00813977"/>
    <w:rsid w:val="00821C32"/>
    <w:rsid w:val="00832D74"/>
    <w:rsid w:val="008413FF"/>
    <w:rsid w:val="008873C7"/>
    <w:rsid w:val="008933D8"/>
    <w:rsid w:val="00893A3F"/>
    <w:rsid w:val="00893DB3"/>
    <w:rsid w:val="008A66BB"/>
    <w:rsid w:val="008B204C"/>
    <w:rsid w:val="008B31DA"/>
    <w:rsid w:val="008C041C"/>
    <w:rsid w:val="008D2CCE"/>
    <w:rsid w:val="008E509F"/>
    <w:rsid w:val="008E76D6"/>
    <w:rsid w:val="008E7E1E"/>
    <w:rsid w:val="0092676A"/>
    <w:rsid w:val="009359EC"/>
    <w:rsid w:val="009473DA"/>
    <w:rsid w:val="00952A3E"/>
    <w:rsid w:val="00953664"/>
    <w:rsid w:val="009749E8"/>
    <w:rsid w:val="00981F27"/>
    <w:rsid w:val="00991FBB"/>
    <w:rsid w:val="00996090"/>
    <w:rsid w:val="009A5EAA"/>
    <w:rsid w:val="009B12EA"/>
    <w:rsid w:val="009B34EB"/>
    <w:rsid w:val="009C6CF2"/>
    <w:rsid w:val="009C6F47"/>
    <w:rsid w:val="009D257D"/>
    <w:rsid w:val="009E1AB5"/>
    <w:rsid w:val="009E1C05"/>
    <w:rsid w:val="009F1AE6"/>
    <w:rsid w:val="009F4FA5"/>
    <w:rsid w:val="009F7D90"/>
    <w:rsid w:val="00A323F4"/>
    <w:rsid w:val="00A625FF"/>
    <w:rsid w:val="00A6356D"/>
    <w:rsid w:val="00A65707"/>
    <w:rsid w:val="00A70727"/>
    <w:rsid w:val="00A7276C"/>
    <w:rsid w:val="00A868F8"/>
    <w:rsid w:val="00A93B6A"/>
    <w:rsid w:val="00A970F5"/>
    <w:rsid w:val="00AB54D7"/>
    <w:rsid w:val="00AC2BCE"/>
    <w:rsid w:val="00AD5793"/>
    <w:rsid w:val="00AE6318"/>
    <w:rsid w:val="00B03713"/>
    <w:rsid w:val="00B11296"/>
    <w:rsid w:val="00B1772D"/>
    <w:rsid w:val="00B20B7D"/>
    <w:rsid w:val="00B248B1"/>
    <w:rsid w:val="00B254F2"/>
    <w:rsid w:val="00B359B1"/>
    <w:rsid w:val="00B42A78"/>
    <w:rsid w:val="00B4444C"/>
    <w:rsid w:val="00B50BBE"/>
    <w:rsid w:val="00B60B89"/>
    <w:rsid w:val="00B71946"/>
    <w:rsid w:val="00B720E8"/>
    <w:rsid w:val="00B72CD7"/>
    <w:rsid w:val="00B74537"/>
    <w:rsid w:val="00B76450"/>
    <w:rsid w:val="00B85011"/>
    <w:rsid w:val="00B95C28"/>
    <w:rsid w:val="00B95DB1"/>
    <w:rsid w:val="00BC3166"/>
    <w:rsid w:val="00BE15F5"/>
    <w:rsid w:val="00BF2477"/>
    <w:rsid w:val="00BF7084"/>
    <w:rsid w:val="00BF784F"/>
    <w:rsid w:val="00C00094"/>
    <w:rsid w:val="00C16938"/>
    <w:rsid w:val="00C2005E"/>
    <w:rsid w:val="00C20B5C"/>
    <w:rsid w:val="00C51670"/>
    <w:rsid w:val="00C63D65"/>
    <w:rsid w:val="00C74B27"/>
    <w:rsid w:val="00C7680C"/>
    <w:rsid w:val="00C77302"/>
    <w:rsid w:val="00C92130"/>
    <w:rsid w:val="00CA0EE6"/>
    <w:rsid w:val="00CC18BE"/>
    <w:rsid w:val="00CC3F15"/>
    <w:rsid w:val="00CC493A"/>
    <w:rsid w:val="00CD0BA9"/>
    <w:rsid w:val="00CE6A43"/>
    <w:rsid w:val="00CF52F5"/>
    <w:rsid w:val="00CF639F"/>
    <w:rsid w:val="00D13625"/>
    <w:rsid w:val="00D2327B"/>
    <w:rsid w:val="00D24E5F"/>
    <w:rsid w:val="00D36324"/>
    <w:rsid w:val="00D47843"/>
    <w:rsid w:val="00D51AD5"/>
    <w:rsid w:val="00D60C9A"/>
    <w:rsid w:val="00D62691"/>
    <w:rsid w:val="00D65A39"/>
    <w:rsid w:val="00D97357"/>
    <w:rsid w:val="00DA612E"/>
    <w:rsid w:val="00DA6499"/>
    <w:rsid w:val="00DE087E"/>
    <w:rsid w:val="00DE103A"/>
    <w:rsid w:val="00DE36D5"/>
    <w:rsid w:val="00DF391C"/>
    <w:rsid w:val="00DF4123"/>
    <w:rsid w:val="00E0340A"/>
    <w:rsid w:val="00E10ADD"/>
    <w:rsid w:val="00E217B7"/>
    <w:rsid w:val="00E349E4"/>
    <w:rsid w:val="00E4412C"/>
    <w:rsid w:val="00E476F1"/>
    <w:rsid w:val="00E6152E"/>
    <w:rsid w:val="00E62F24"/>
    <w:rsid w:val="00E66E23"/>
    <w:rsid w:val="00E67A00"/>
    <w:rsid w:val="00E67F97"/>
    <w:rsid w:val="00E73DBA"/>
    <w:rsid w:val="00E822A9"/>
    <w:rsid w:val="00E82AF2"/>
    <w:rsid w:val="00E90687"/>
    <w:rsid w:val="00E95990"/>
    <w:rsid w:val="00E96F2D"/>
    <w:rsid w:val="00EB0602"/>
    <w:rsid w:val="00EB0ECE"/>
    <w:rsid w:val="00EB60FA"/>
    <w:rsid w:val="00EC1420"/>
    <w:rsid w:val="00EC1CEB"/>
    <w:rsid w:val="00EC5E80"/>
    <w:rsid w:val="00EE5659"/>
    <w:rsid w:val="00F21DE6"/>
    <w:rsid w:val="00F30FEE"/>
    <w:rsid w:val="00F3117D"/>
    <w:rsid w:val="00F427CC"/>
    <w:rsid w:val="00F44CF1"/>
    <w:rsid w:val="00F52BF6"/>
    <w:rsid w:val="00F5442A"/>
    <w:rsid w:val="00F6442B"/>
    <w:rsid w:val="00F72E83"/>
    <w:rsid w:val="00F739BC"/>
    <w:rsid w:val="00F901C8"/>
    <w:rsid w:val="00FB538F"/>
    <w:rsid w:val="00FC50BD"/>
    <w:rsid w:val="00FD0E65"/>
    <w:rsid w:val="00FD4C31"/>
    <w:rsid w:val="00FF181C"/>
  </w:rsids>
  <m:mathPr>
    <m:mathFont m:val="Cambria Math"/>
    <m:brkBin m:val="before"/>
    <m:brkBinSub m:val="--"/>
    <m:smallFrac m:val="0"/>
    <m:dispDef/>
    <m:lMargin m:val="0"/>
    <m:rMargin m:val="0"/>
    <m:defJc m:val="centerGroup"/>
    <m:wrapIndent m:val="1440"/>
    <m:intLim m:val="subSup"/>
    <m:naryLim m:val="undOvr"/>
  </m:mathPr>
  <w:themeFontLang w:val="ka-G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62E94"/>
  <w15:chartTrackingRefBased/>
  <w15:docId w15:val="{B4FC2DF2-61F6-43BB-8A44-B4030A086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Calibri"/>
        <w:color w:val="000000"/>
        <w:sz w:val="23"/>
        <w:szCs w:val="23"/>
        <w:lang w:val="ka-G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7EAA"/>
    <w:pPr>
      <w:spacing w:after="0" w:line="240" w:lineRule="auto"/>
    </w:pPr>
    <w:rPr>
      <w:rFonts w:ascii="Times New Roman" w:eastAsia="Times New Roman" w:hAnsi="Times New Roman" w:cs="Times New Roman"/>
      <w:color w:val="auto"/>
      <w:sz w:val="24"/>
      <w:szCs w:val="24"/>
      <w:lang w:eastAsia="ka-GE"/>
    </w:rPr>
  </w:style>
  <w:style w:type="paragraph" w:styleId="Heading1">
    <w:name w:val="heading 1"/>
    <w:basedOn w:val="Normal"/>
    <w:next w:val="Normal"/>
    <w:link w:val="Heading1Char"/>
    <w:uiPriority w:val="9"/>
    <w:qFormat/>
    <w:rsid w:val="00EB0602"/>
    <w:pPr>
      <w:keepNext/>
      <w:keepLines/>
      <w:spacing w:before="240"/>
      <w:outlineLvl w:val="0"/>
    </w:pPr>
    <w:rPr>
      <w:rFonts w:asciiTheme="majorHAnsi" w:eastAsiaTheme="majorEastAsia" w:hAnsiTheme="majorHAnsi" w:cstheme="majorBidi"/>
      <w:color w:val="2E74B5" w:themeColor="accent1" w:themeShade="BF"/>
      <w:sz w:val="32"/>
      <w:szCs w:val="32"/>
      <w:lang w:val="en-US" w:eastAsia="en-US"/>
    </w:rPr>
  </w:style>
  <w:style w:type="paragraph" w:styleId="Heading2">
    <w:name w:val="heading 2"/>
    <w:basedOn w:val="Normal"/>
    <w:next w:val="Normal"/>
    <w:link w:val="Heading2Char"/>
    <w:uiPriority w:val="9"/>
    <w:unhideWhenUsed/>
    <w:qFormat/>
    <w:rsid w:val="00EB0602"/>
    <w:pPr>
      <w:keepNext/>
      <w:keepLines/>
      <w:spacing w:before="40"/>
      <w:outlineLvl w:val="1"/>
    </w:pPr>
    <w:rPr>
      <w:rFonts w:asciiTheme="majorHAnsi" w:eastAsiaTheme="majorEastAsia" w:hAnsiTheme="majorHAnsi" w:cstheme="majorBidi"/>
      <w:color w:val="2E74B5" w:themeColor="accent1" w:themeShade="BF"/>
      <w:sz w:val="26"/>
      <w:szCs w:val="26"/>
      <w:lang w:val="en-US" w:eastAsia="en-US"/>
    </w:rPr>
  </w:style>
  <w:style w:type="paragraph" w:styleId="Heading3">
    <w:name w:val="heading 3"/>
    <w:basedOn w:val="Normal"/>
    <w:next w:val="Normal"/>
    <w:link w:val="Heading3Char"/>
    <w:uiPriority w:val="9"/>
    <w:unhideWhenUsed/>
    <w:qFormat/>
    <w:rsid w:val="00EB0602"/>
    <w:pPr>
      <w:keepNext/>
      <w:keepLines/>
      <w:spacing w:before="40"/>
      <w:outlineLvl w:val="2"/>
    </w:pPr>
    <w:rPr>
      <w:rFonts w:asciiTheme="majorHAnsi" w:eastAsiaTheme="majorEastAsia" w:hAnsiTheme="majorHAnsi" w:cstheme="majorBidi"/>
      <w:color w:val="1F4D78" w:themeColor="accent1" w:themeShade="7F"/>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602"/>
    <w:rPr>
      <w:rFonts w:asciiTheme="majorHAnsi" w:eastAsiaTheme="majorEastAsia" w:hAnsiTheme="majorHAnsi" w:cstheme="majorBidi"/>
      <w:color w:val="2E74B5" w:themeColor="accent1" w:themeShade="BF"/>
      <w:sz w:val="32"/>
      <w:szCs w:val="32"/>
      <w:lang w:val="en-US"/>
    </w:rPr>
  </w:style>
  <w:style w:type="character" w:customStyle="1" w:styleId="Heading2Char">
    <w:name w:val="Heading 2 Char"/>
    <w:basedOn w:val="DefaultParagraphFont"/>
    <w:link w:val="Heading2"/>
    <w:uiPriority w:val="9"/>
    <w:rsid w:val="00EB0602"/>
    <w:rPr>
      <w:rFonts w:asciiTheme="majorHAnsi" w:eastAsiaTheme="majorEastAsia" w:hAnsiTheme="majorHAnsi" w:cstheme="majorBidi"/>
      <w:color w:val="2E74B5" w:themeColor="accent1" w:themeShade="BF"/>
      <w:sz w:val="26"/>
      <w:szCs w:val="26"/>
      <w:lang w:val="en-US"/>
    </w:rPr>
  </w:style>
  <w:style w:type="character" w:customStyle="1" w:styleId="Heading3Char">
    <w:name w:val="Heading 3 Char"/>
    <w:basedOn w:val="DefaultParagraphFont"/>
    <w:link w:val="Heading3"/>
    <w:uiPriority w:val="9"/>
    <w:rsid w:val="00EB0602"/>
    <w:rPr>
      <w:rFonts w:asciiTheme="majorHAnsi" w:eastAsiaTheme="majorEastAsia" w:hAnsiTheme="majorHAnsi" w:cstheme="majorBidi"/>
      <w:color w:val="1F4D78" w:themeColor="accent1" w:themeShade="7F"/>
      <w:sz w:val="24"/>
      <w:szCs w:val="24"/>
      <w:lang w:val="en-US"/>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Char,Fußnote"/>
    <w:basedOn w:val="Normal"/>
    <w:link w:val="FootnoteTextChar"/>
    <w:unhideWhenUsed/>
    <w:qFormat/>
    <w:rsid w:val="003A7EAA"/>
    <w:rPr>
      <w:rFonts w:asciiTheme="minorHAnsi" w:eastAsiaTheme="minorHAnsi" w:hAnsiTheme="minorHAnsi" w:cstheme="minorBidi"/>
      <w:sz w:val="20"/>
      <w:szCs w:val="20"/>
      <w:lang w:val="en-US" w:eastAsia="en-US"/>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basedOn w:val="DefaultParagraphFont"/>
    <w:link w:val="FootnoteText"/>
    <w:qFormat/>
    <w:rsid w:val="003A7EAA"/>
    <w:rPr>
      <w:rFonts w:asciiTheme="minorHAnsi" w:hAnsiTheme="minorHAnsi" w:cstheme="minorBidi"/>
      <w:color w:val="auto"/>
      <w:sz w:val="20"/>
      <w:szCs w:val="20"/>
      <w:lang w:val="en-US"/>
    </w:rPr>
  </w:style>
  <w:style w:type="character" w:styleId="FootnoteReference">
    <w:name w:val="footnote reference"/>
    <w:aliases w:val="Ref,de nota al pie,4_G,ftref Char Char Char,ftref Car Char Char Char Char, Car Car5 Char Char Car Car Char Char Char Char Char Char,Car Car5 Char Char Car Car Char Char Char Char Char Char,ftref,16 Point,Superscript 6 Point"/>
    <w:basedOn w:val="DefaultParagraphFont"/>
    <w:link w:val="ftrefCharChar"/>
    <w:unhideWhenUsed/>
    <w:qFormat/>
    <w:rsid w:val="003A7EAA"/>
    <w:rPr>
      <w:vertAlign w:val="superscript"/>
    </w:rPr>
  </w:style>
  <w:style w:type="paragraph" w:customStyle="1" w:styleId="ftrefCharChar">
    <w:name w:val="ftref Char Char"/>
    <w:aliases w:val="ftref Car Char Char Char, Car Car5 Char Char Car Car Char Char Char Char Char,Footnote Reference.ftref Char.ftref Car Char Char.Car Car5 Char Char Car Car Char Char Char Char Char Char Char Char,callout"/>
    <w:basedOn w:val="Normal"/>
    <w:link w:val="FootnoteReference"/>
    <w:uiPriority w:val="99"/>
    <w:rsid w:val="003A7EAA"/>
    <w:pPr>
      <w:spacing w:after="160" w:line="240" w:lineRule="exact"/>
    </w:pPr>
    <w:rPr>
      <w:rFonts w:ascii="Calibri" w:eastAsiaTheme="minorHAnsi" w:hAnsi="Calibri" w:cs="Calibri"/>
      <w:color w:val="000000"/>
      <w:sz w:val="23"/>
      <w:szCs w:val="23"/>
      <w:vertAlign w:val="superscript"/>
      <w:lang w:eastAsia="en-US"/>
    </w:rPr>
  </w:style>
  <w:style w:type="paragraph" w:styleId="ListParagraph">
    <w:name w:val="List Paragraph"/>
    <w:basedOn w:val="Normal"/>
    <w:uiPriority w:val="34"/>
    <w:qFormat/>
    <w:rsid w:val="003A7EAA"/>
    <w:pPr>
      <w:ind w:left="720"/>
      <w:contextualSpacing/>
    </w:pPr>
  </w:style>
  <w:style w:type="table" w:styleId="TableGrid">
    <w:name w:val="Table Grid"/>
    <w:basedOn w:val="TableNormal"/>
    <w:uiPriority w:val="39"/>
    <w:rsid w:val="003A7E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36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3625"/>
    <w:rPr>
      <w:rFonts w:ascii="Segoe UI" w:eastAsia="Times New Roman" w:hAnsi="Segoe UI" w:cs="Segoe UI"/>
      <w:color w:val="auto"/>
      <w:sz w:val="18"/>
      <w:szCs w:val="18"/>
      <w:lang w:eastAsia="ka-GE"/>
    </w:rPr>
  </w:style>
  <w:style w:type="character" w:styleId="EndnoteReference">
    <w:name w:val="endnote reference"/>
    <w:basedOn w:val="DefaultParagraphFont"/>
    <w:uiPriority w:val="99"/>
    <w:semiHidden/>
    <w:unhideWhenUsed/>
    <w:rsid w:val="00CC493A"/>
    <w:rPr>
      <w:vertAlign w:val="superscript"/>
    </w:rPr>
  </w:style>
  <w:style w:type="paragraph" w:styleId="Header">
    <w:name w:val="header"/>
    <w:basedOn w:val="Normal"/>
    <w:link w:val="HeaderChar"/>
    <w:uiPriority w:val="99"/>
    <w:unhideWhenUsed/>
    <w:rsid w:val="00EB0602"/>
    <w:pPr>
      <w:tabs>
        <w:tab w:val="center" w:pos="4680"/>
        <w:tab w:val="right" w:pos="9360"/>
      </w:tabs>
    </w:pPr>
    <w:rPr>
      <w:rFonts w:ascii="Calibri" w:eastAsiaTheme="minorHAnsi" w:hAnsi="Calibri" w:cs="Calibri"/>
      <w:sz w:val="22"/>
      <w:szCs w:val="22"/>
      <w:lang w:val="en-US" w:eastAsia="en-US"/>
    </w:rPr>
  </w:style>
  <w:style w:type="character" w:customStyle="1" w:styleId="HeaderChar">
    <w:name w:val="Header Char"/>
    <w:basedOn w:val="DefaultParagraphFont"/>
    <w:link w:val="Header"/>
    <w:uiPriority w:val="99"/>
    <w:rsid w:val="00EB0602"/>
    <w:rPr>
      <w:color w:val="auto"/>
      <w:sz w:val="22"/>
      <w:szCs w:val="22"/>
      <w:lang w:val="en-US"/>
    </w:rPr>
  </w:style>
  <w:style w:type="paragraph" w:styleId="Footer">
    <w:name w:val="footer"/>
    <w:basedOn w:val="Normal"/>
    <w:link w:val="FooterChar"/>
    <w:uiPriority w:val="99"/>
    <w:unhideWhenUsed/>
    <w:rsid w:val="00EB0602"/>
    <w:pPr>
      <w:tabs>
        <w:tab w:val="center" w:pos="4680"/>
        <w:tab w:val="right" w:pos="9360"/>
      </w:tabs>
    </w:pPr>
    <w:rPr>
      <w:rFonts w:ascii="Calibri" w:eastAsiaTheme="minorHAnsi" w:hAnsi="Calibri" w:cs="Calibri"/>
      <w:sz w:val="22"/>
      <w:szCs w:val="22"/>
      <w:lang w:val="en-US" w:eastAsia="en-US"/>
    </w:rPr>
  </w:style>
  <w:style w:type="character" w:customStyle="1" w:styleId="FooterChar">
    <w:name w:val="Footer Char"/>
    <w:basedOn w:val="DefaultParagraphFont"/>
    <w:link w:val="Footer"/>
    <w:uiPriority w:val="99"/>
    <w:rsid w:val="00EB0602"/>
    <w:rPr>
      <w:color w:val="auto"/>
      <w:sz w:val="22"/>
      <w:szCs w:val="22"/>
      <w:lang w:val="en-US"/>
    </w:rPr>
  </w:style>
  <w:style w:type="character" w:styleId="Emphasis">
    <w:name w:val="Emphasis"/>
    <w:basedOn w:val="DefaultParagraphFont"/>
    <w:uiPriority w:val="20"/>
    <w:qFormat/>
    <w:rsid w:val="00EB0602"/>
    <w:rPr>
      <w:i/>
      <w:iCs/>
    </w:rPr>
  </w:style>
  <w:style w:type="character" w:styleId="Hyperlink">
    <w:name w:val="Hyperlink"/>
    <w:basedOn w:val="DefaultParagraphFont"/>
    <w:uiPriority w:val="99"/>
    <w:unhideWhenUsed/>
    <w:rsid w:val="00EB0602"/>
    <w:rPr>
      <w:color w:val="0563C1" w:themeColor="hyperlink"/>
      <w:u w:val="single"/>
    </w:rPr>
  </w:style>
  <w:style w:type="character" w:customStyle="1" w:styleId="EndnoteTextChar">
    <w:name w:val="Endnote Text Char"/>
    <w:basedOn w:val="DefaultParagraphFont"/>
    <w:link w:val="EndnoteText"/>
    <w:uiPriority w:val="99"/>
    <w:semiHidden/>
    <w:rsid w:val="00EB0602"/>
    <w:rPr>
      <w:color w:val="auto"/>
      <w:sz w:val="20"/>
      <w:szCs w:val="20"/>
      <w:lang w:val="en-US"/>
    </w:rPr>
  </w:style>
  <w:style w:type="paragraph" w:styleId="EndnoteText">
    <w:name w:val="endnote text"/>
    <w:basedOn w:val="Normal"/>
    <w:link w:val="EndnoteTextChar"/>
    <w:uiPriority w:val="99"/>
    <w:semiHidden/>
    <w:unhideWhenUsed/>
    <w:rsid w:val="00EB0602"/>
    <w:rPr>
      <w:rFonts w:ascii="Calibri" w:eastAsiaTheme="minorHAnsi" w:hAnsi="Calibri" w:cs="Calibri"/>
      <w:sz w:val="20"/>
      <w:szCs w:val="20"/>
      <w:lang w:val="en-US" w:eastAsia="en-US"/>
    </w:rPr>
  </w:style>
  <w:style w:type="character" w:styleId="CommentReference">
    <w:name w:val="annotation reference"/>
    <w:basedOn w:val="DefaultParagraphFont"/>
    <w:uiPriority w:val="99"/>
    <w:unhideWhenUsed/>
    <w:rsid w:val="00EB0602"/>
    <w:rPr>
      <w:sz w:val="16"/>
      <w:szCs w:val="16"/>
    </w:rPr>
  </w:style>
  <w:style w:type="paragraph" w:styleId="CommentText">
    <w:name w:val="annotation text"/>
    <w:basedOn w:val="Normal"/>
    <w:link w:val="CommentTextChar"/>
    <w:uiPriority w:val="99"/>
    <w:unhideWhenUsed/>
    <w:rsid w:val="00EB0602"/>
    <w:rPr>
      <w:rFonts w:ascii="Calibri" w:eastAsiaTheme="minorHAnsi" w:hAnsi="Calibri" w:cs="Calibri"/>
      <w:sz w:val="20"/>
      <w:szCs w:val="20"/>
      <w:lang w:val="en-US" w:eastAsia="en-US"/>
    </w:rPr>
  </w:style>
  <w:style w:type="character" w:customStyle="1" w:styleId="CommentTextChar">
    <w:name w:val="Comment Text Char"/>
    <w:basedOn w:val="DefaultParagraphFont"/>
    <w:link w:val="CommentText"/>
    <w:uiPriority w:val="99"/>
    <w:rsid w:val="00EB0602"/>
    <w:rPr>
      <w:color w:val="auto"/>
      <w:sz w:val="20"/>
      <w:szCs w:val="20"/>
      <w:lang w:val="en-US"/>
    </w:rPr>
  </w:style>
  <w:style w:type="character" w:customStyle="1" w:styleId="CommentSubjectChar">
    <w:name w:val="Comment Subject Char"/>
    <w:basedOn w:val="CommentTextChar"/>
    <w:link w:val="CommentSubject"/>
    <w:uiPriority w:val="99"/>
    <w:semiHidden/>
    <w:rsid w:val="00EB0602"/>
    <w:rPr>
      <w:b/>
      <w:bCs/>
      <w:color w:val="auto"/>
      <w:sz w:val="20"/>
      <w:szCs w:val="20"/>
      <w:lang w:val="en-US"/>
    </w:rPr>
  </w:style>
  <w:style w:type="paragraph" w:styleId="CommentSubject">
    <w:name w:val="annotation subject"/>
    <w:basedOn w:val="CommentText"/>
    <w:next w:val="CommentText"/>
    <w:link w:val="CommentSubjectChar"/>
    <w:uiPriority w:val="99"/>
    <w:semiHidden/>
    <w:unhideWhenUsed/>
    <w:rsid w:val="00EB0602"/>
    <w:rPr>
      <w:b/>
      <w:bCs/>
    </w:rPr>
  </w:style>
  <w:style w:type="character" w:styleId="Strong">
    <w:name w:val="Strong"/>
    <w:basedOn w:val="DefaultParagraphFont"/>
    <w:uiPriority w:val="22"/>
    <w:qFormat/>
    <w:rsid w:val="00EB0602"/>
    <w:rPr>
      <w:b/>
      <w:bCs/>
    </w:rPr>
  </w:style>
  <w:style w:type="paragraph" w:styleId="NormalWeb">
    <w:name w:val="Normal (Web)"/>
    <w:basedOn w:val="Normal"/>
    <w:uiPriority w:val="99"/>
    <w:unhideWhenUsed/>
    <w:rsid w:val="008A66BB"/>
    <w:pPr>
      <w:spacing w:before="100" w:beforeAutospacing="1" w:after="100" w:afterAutospacing="1"/>
    </w:pPr>
    <w:rPr>
      <w:lang w:val="en-US" w:eastAsia="en-US"/>
    </w:rPr>
  </w:style>
  <w:style w:type="table" w:customStyle="1" w:styleId="TableGrid1">
    <w:name w:val="Table Grid1"/>
    <w:basedOn w:val="TableNormal"/>
    <w:next w:val="TableGrid"/>
    <w:uiPriority w:val="39"/>
    <w:rsid w:val="00A65707"/>
    <w:pPr>
      <w:spacing w:after="0" w:line="240" w:lineRule="auto"/>
    </w:pPr>
    <w:rPr>
      <w:rFonts w:eastAsia="Calibri" w:cs="Times New Roman"/>
      <w:color w:val="auto"/>
      <w:sz w:val="22"/>
      <w:szCs w:val="22"/>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522845">
      <w:bodyDiv w:val="1"/>
      <w:marLeft w:val="0"/>
      <w:marRight w:val="0"/>
      <w:marTop w:val="0"/>
      <w:marBottom w:val="0"/>
      <w:divBdr>
        <w:top w:val="none" w:sz="0" w:space="0" w:color="auto"/>
        <w:left w:val="none" w:sz="0" w:space="0" w:color="auto"/>
        <w:bottom w:val="none" w:sz="0" w:space="0" w:color="auto"/>
        <w:right w:val="none" w:sz="0" w:space="0" w:color="auto"/>
      </w:divBdr>
    </w:div>
    <w:div w:id="283273333">
      <w:bodyDiv w:val="1"/>
      <w:marLeft w:val="0"/>
      <w:marRight w:val="0"/>
      <w:marTop w:val="0"/>
      <w:marBottom w:val="0"/>
      <w:divBdr>
        <w:top w:val="none" w:sz="0" w:space="0" w:color="auto"/>
        <w:left w:val="none" w:sz="0" w:space="0" w:color="auto"/>
        <w:bottom w:val="none" w:sz="0" w:space="0" w:color="auto"/>
        <w:right w:val="none" w:sz="0" w:space="0" w:color="auto"/>
      </w:divBdr>
    </w:div>
    <w:div w:id="380518402">
      <w:bodyDiv w:val="1"/>
      <w:marLeft w:val="0"/>
      <w:marRight w:val="0"/>
      <w:marTop w:val="0"/>
      <w:marBottom w:val="0"/>
      <w:divBdr>
        <w:top w:val="none" w:sz="0" w:space="0" w:color="auto"/>
        <w:left w:val="none" w:sz="0" w:space="0" w:color="auto"/>
        <w:bottom w:val="none" w:sz="0" w:space="0" w:color="auto"/>
        <w:right w:val="none" w:sz="0" w:space="0" w:color="auto"/>
      </w:divBdr>
    </w:div>
    <w:div w:id="382337504">
      <w:bodyDiv w:val="1"/>
      <w:marLeft w:val="0"/>
      <w:marRight w:val="0"/>
      <w:marTop w:val="0"/>
      <w:marBottom w:val="0"/>
      <w:divBdr>
        <w:top w:val="none" w:sz="0" w:space="0" w:color="auto"/>
        <w:left w:val="none" w:sz="0" w:space="0" w:color="auto"/>
        <w:bottom w:val="none" w:sz="0" w:space="0" w:color="auto"/>
        <w:right w:val="none" w:sz="0" w:space="0" w:color="auto"/>
      </w:divBdr>
    </w:div>
    <w:div w:id="437989926">
      <w:bodyDiv w:val="1"/>
      <w:marLeft w:val="0"/>
      <w:marRight w:val="0"/>
      <w:marTop w:val="0"/>
      <w:marBottom w:val="0"/>
      <w:divBdr>
        <w:top w:val="none" w:sz="0" w:space="0" w:color="auto"/>
        <w:left w:val="none" w:sz="0" w:space="0" w:color="auto"/>
        <w:bottom w:val="none" w:sz="0" w:space="0" w:color="auto"/>
        <w:right w:val="none" w:sz="0" w:space="0" w:color="auto"/>
      </w:divBdr>
    </w:div>
    <w:div w:id="538859532">
      <w:bodyDiv w:val="1"/>
      <w:marLeft w:val="0"/>
      <w:marRight w:val="0"/>
      <w:marTop w:val="0"/>
      <w:marBottom w:val="0"/>
      <w:divBdr>
        <w:top w:val="none" w:sz="0" w:space="0" w:color="auto"/>
        <w:left w:val="none" w:sz="0" w:space="0" w:color="auto"/>
        <w:bottom w:val="none" w:sz="0" w:space="0" w:color="auto"/>
        <w:right w:val="none" w:sz="0" w:space="0" w:color="auto"/>
      </w:divBdr>
    </w:div>
    <w:div w:id="567345769">
      <w:bodyDiv w:val="1"/>
      <w:marLeft w:val="0"/>
      <w:marRight w:val="0"/>
      <w:marTop w:val="0"/>
      <w:marBottom w:val="0"/>
      <w:divBdr>
        <w:top w:val="none" w:sz="0" w:space="0" w:color="auto"/>
        <w:left w:val="none" w:sz="0" w:space="0" w:color="auto"/>
        <w:bottom w:val="none" w:sz="0" w:space="0" w:color="auto"/>
        <w:right w:val="none" w:sz="0" w:space="0" w:color="auto"/>
      </w:divBdr>
    </w:div>
    <w:div w:id="590699061">
      <w:bodyDiv w:val="1"/>
      <w:marLeft w:val="0"/>
      <w:marRight w:val="0"/>
      <w:marTop w:val="0"/>
      <w:marBottom w:val="0"/>
      <w:divBdr>
        <w:top w:val="none" w:sz="0" w:space="0" w:color="auto"/>
        <w:left w:val="none" w:sz="0" w:space="0" w:color="auto"/>
        <w:bottom w:val="none" w:sz="0" w:space="0" w:color="auto"/>
        <w:right w:val="none" w:sz="0" w:space="0" w:color="auto"/>
      </w:divBdr>
    </w:div>
    <w:div w:id="743575450">
      <w:bodyDiv w:val="1"/>
      <w:marLeft w:val="0"/>
      <w:marRight w:val="0"/>
      <w:marTop w:val="0"/>
      <w:marBottom w:val="0"/>
      <w:divBdr>
        <w:top w:val="none" w:sz="0" w:space="0" w:color="auto"/>
        <w:left w:val="none" w:sz="0" w:space="0" w:color="auto"/>
        <w:bottom w:val="none" w:sz="0" w:space="0" w:color="auto"/>
        <w:right w:val="none" w:sz="0" w:space="0" w:color="auto"/>
      </w:divBdr>
    </w:div>
    <w:div w:id="745344635">
      <w:bodyDiv w:val="1"/>
      <w:marLeft w:val="0"/>
      <w:marRight w:val="0"/>
      <w:marTop w:val="0"/>
      <w:marBottom w:val="0"/>
      <w:divBdr>
        <w:top w:val="none" w:sz="0" w:space="0" w:color="auto"/>
        <w:left w:val="none" w:sz="0" w:space="0" w:color="auto"/>
        <w:bottom w:val="none" w:sz="0" w:space="0" w:color="auto"/>
        <w:right w:val="none" w:sz="0" w:space="0" w:color="auto"/>
      </w:divBdr>
    </w:div>
    <w:div w:id="1102342684">
      <w:bodyDiv w:val="1"/>
      <w:marLeft w:val="0"/>
      <w:marRight w:val="0"/>
      <w:marTop w:val="0"/>
      <w:marBottom w:val="0"/>
      <w:divBdr>
        <w:top w:val="none" w:sz="0" w:space="0" w:color="auto"/>
        <w:left w:val="none" w:sz="0" w:space="0" w:color="auto"/>
        <w:bottom w:val="none" w:sz="0" w:space="0" w:color="auto"/>
        <w:right w:val="none" w:sz="0" w:space="0" w:color="auto"/>
      </w:divBdr>
    </w:div>
    <w:div w:id="1120958671">
      <w:bodyDiv w:val="1"/>
      <w:marLeft w:val="0"/>
      <w:marRight w:val="0"/>
      <w:marTop w:val="0"/>
      <w:marBottom w:val="0"/>
      <w:divBdr>
        <w:top w:val="none" w:sz="0" w:space="0" w:color="auto"/>
        <w:left w:val="none" w:sz="0" w:space="0" w:color="auto"/>
        <w:bottom w:val="none" w:sz="0" w:space="0" w:color="auto"/>
        <w:right w:val="none" w:sz="0" w:space="0" w:color="auto"/>
      </w:divBdr>
    </w:div>
    <w:div w:id="1129467931">
      <w:bodyDiv w:val="1"/>
      <w:marLeft w:val="0"/>
      <w:marRight w:val="0"/>
      <w:marTop w:val="0"/>
      <w:marBottom w:val="0"/>
      <w:divBdr>
        <w:top w:val="none" w:sz="0" w:space="0" w:color="auto"/>
        <w:left w:val="none" w:sz="0" w:space="0" w:color="auto"/>
        <w:bottom w:val="none" w:sz="0" w:space="0" w:color="auto"/>
        <w:right w:val="none" w:sz="0" w:space="0" w:color="auto"/>
      </w:divBdr>
    </w:div>
    <w:div w:id="1195117457">
      <w:bodyDiv w:val="1"/>
      <w:marLeft w:val="0"/>
      <w:marRight w:val="0"/>
      <w:marTop w:val="0"/>
      <w:marBottom w:val="0"/>
      <w:divBdr>
        <w:top w:val="none" w:sz="0" w:space="0" w:color="auto"/>
        <w:left w:val="none" w:sz="0" w:space="0" w:color="auto"/>
        <w:bottom w:val="none" w:sz="0" w:space="0" w:color="auto"/>
        <w:right w:val="none" w:sz="0" w:space="0" w:color="auto"/>
      </w:divBdr>
    </w:div>
    <w:div w:id="1415710063">
      <w:bodyDiv w:val="1"/>
      <w:marLeft w:val="0"/>
      <w:marRight w:val="0"/>
      <w:marTop w:val="0"/>
      <w:marBottom w:val="0"/>
      <w:divBdr>
        <w:top w:val="none" w:sz="0" w:space="0" w:color="auto"/>
        <w:left w:val="none" w:sz="0" w:space="0" w:color="auto"/>
        <w:bottom w:val="none" w:sz="0" w:space="0" w:color="auto"/>
        <w:right w:val="none" w:sz="0" w:space="0" w:color="auto"/>
      </w:divBdr>
    </w:div>
    <w:div w:id="1513959271">
      <w:bodyDiv w:val="1"/>
      <w:marLeft w:val="0"/>
      <w:marRight w:val="0"/>
      <w:marTop w:val="0"/>
      <w:marBottom w:val="0"/>
      <w:divBdr>
        <w:top w:val="none" w:sz="0" w:space="0" w:color="auto"/>
        <w:left w:val="none" w:sz="0" w:space="0" w:color="auto"/>
        <w:bottom w:val="none" w:sz="0" w:space="0" w:color="auto"/>
        <w:right w:val="none" w:sz="0" w:space="0" w:color="auto"/>
      </w:divBdr>
    </w:div>
    <w:div w:id="1531524804">
      <w:bodyDiv w:val="1"/>
      <w:marLeft w:val="0"/>
      <w:marRight w:val="0"/>
      <w:marTop w:val="0"/>
      <w:marBottom w:val="0"/>
      <w:divBdr>
        <w:top w:val="none" w:sz="0" w:space="0" w:color="auto"/>
        <w:left w:val="none" w:sz="0" w:space="0" w:color="auto"/>
        <w:bottom w:val="none" w:sz="0" w:space="0" w:color="auto"/>
        <w:right w:val="none" w:sz="0" w:space="0" w:color="auto"/>
      </w:divBdr>
    </w:div>
    <w:div w:id="1624115940">
      <w:bodyDiv w:val="1"/>
      <w:marLeft w:val="0"/>
      <w:marRight w:val="0"/>
      <w:marTop w:val="0"/>
      <w:marBottom w:val="0"/>
      <w:divBdr>
        <w:top w:val="none" w:sz="0" w:space="0" w:color="auto"/>
        <w:left w:val="none" w:sz="0" w:space="0" w:color="auto"/>
        <w:bottom w:val="none" w:sz="0" w:space="0" w:color="auto"/>
        <w:right w:val="none" w:sz="0" w:space="0" w:color="auto"/>
      </w:divBdr>
    </w:div>
    <w:div w:id="1683581181">
      <w:bodyDiv w:val="1"/>
      <w:marLeft w:val="0"/>
      <w:marRight w:val="0"/>
      <w:marTop w:val="0"/>
      <w:marBottom w:val="0"/>
      <w:divBdr>
        <w:top w:val="none" w:sz="0" w:space="0" w:color="auto"/>
        <w:left w:val="none" w:sz="0" w:space="0" w:color="auto"/>
        <w:bottom w:val="none" w:sz="0" w:space="0" w:color="auto"/>
        <w:right w:val="none" w:sz="0" w:space="0" w:color="auto"/>
      </w:divBdr>
    </w:div>
    <w:div w:id="1697463948">
      <w:bodyDiv w:val="1"/>
      <w:marLeft w:val="0"/>
      <w:marRight w:val="0"/>
      <w:marTop w:val="0"/>
      <w:marBottom w:val="0"/>
      <w:divBdr>
        <w:top w:val="none" w:sz="0" w:space="0" w:color="auto"/>
        <w:left w:val="none" w:sz="0" w:space="0" w:color="auto"/>
        <w:bottom w:val="none" w:sz="0" w:space="0" w:color="auto"/>
        <w:right w:val="none" w:sz="0" w:space="0" w:color="auto"/>
      </w:divBdr>
    </w:div>
    <w:div w:id="1794204098">
      <w:bodyDiv w:val="1"/>
      <w:marLeft w:val="0"/>
      <w:marRight w:val="0"/>
      <w:marTop w:val="0"/>
      <w:marBottom w:val="0"/>
      <w:divBdr>
        <w:top w:val="none" w:sz="0" w:space="0" w:color="auto"/>
        <w:left w:val="none" w:sz="0" w:space="0" w:color="auto"/>
        <w:bottom w:val="none" w:sz="0" w:space="0" w:color="auto"/>
        <w:right w:val="none" w:sz="0" w:space="0" w:color="auto"/>
      </w:divBdr>
    </w:div>
    <w:div w:id="1833176421">
      <w:bodyDiv w:val="1"/>
      <w:marLeft w:val="0"/>
      <w:marRight w:val="0"/>
      <w:marTop w:val="0"/>
      <w:marBottom w:val="0"/>
      <w:divBdr>
        <w:top w:val="none" w:sz="0" w:space="0" w:color="auto"/>
        <w:left w:val="none" w:sz="0" w:space="0" w:color="auto"/>
        <w:bottom w:val="none" w:sz="0" w:space="0" w:color="auto"/>
        <w:right w:val="none" w:sz="0" w:space="0" w:color="auto"/>
      </w:divBdr>
    </w:div>
    <w:div w:id="2058308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tsne.gov.ge/ka/document/view/5259172?publication=0"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s>
</file>

<file path=word/_rels/footnotes.xml.rels><?xml version="1.0" encoding="UTF-8" standalone="yes"?>
<Relationships xmlns="http://schemas.openxmlformats.org/package/2006/relationships"><Relationship Id="rId2" Type="http://schemas.openxmlformats.org/officeDocument/2006/relationships/hyperlink" Target="https://www.elliptic.co/blog/typologies-in-focus-the-threat-of-cross-chain-crime" TargetMode="External"/><Relationship Id="rId1" Type="http://schemas.openxmlformats.org/officeDocument/2006/relationships/hyperlink" Target="https://nbg.gov.ge/page/%E1%83%95%E1%83%98%E1%83%A0%E1%83%A2%E1%83%A3%E1%83%90%E1%83%9A%E1%83%A3%E1%83%A0%E1%83%98-%E1%83%90%E1%83%A5%E1%83%A2%E1%83%98%E1%83%95%E1%83%98%E1%83%A1-%E1%83%9B%E1%83%9D%E1%83%9B%E1%83%A1%E1%83%90%E1%83%AE%E1%83%A3%E1%83%A0%E1%83%94%E1%83%91%E1%83%98%E1%83%A1-%E1%83%9E%E1%83%A0%E1%83%9D%E1%83%95%E1%83%90%E1%83%98%E1%83%93%E1%83%94%E1%83%A0%E1%83%94%E1%83%91%E1%83%98-vasps"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accent5">
                    <a:lumMod val="50000"/>
                  </a:schemeClr>
                </a:solidFill>
                <a:latin typeface="+mn-lt"/>
                <a:ea typeface="+mn-ea"/>
                <a:cs typeface="+mn-cs"/>
              </a:defRPr>
            </a:pPr>
            <a:r>
              <a:rPr lang="ka-GE" sz="1200" b="1">
                <a:solidFill>
                  <a:schemeClr val="accent5">
                    <a:lumMod val="50000"/>
                  </a:schemeClr>
                </a:solidFill>
              </a:rPr>
              <a:t>კლიენტების რაოდენობა</a:t>
            </a:r>
            <a:endParaRPr lang="en-US" sz="1200" b="1">
              <a:solidFill>
                <a:schemeClr val="accent5">
                  <a:lumMod val="50000"/>
                </a:schemeClr>
              </a:solidFill>
            </a:endParaRPr>
          </a:p>
        </c:rich>
      </c:tx>
      <c:layout>
        <c:manualLayout>
          <c:xMode val="edge"/>
          <c:yMode val="edge"/>
          <c:x val="0.32775483011325784"/>
          <c:y val="4.9382716049382713E-2"/>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accent5">
                  <a:lumMod val="50000"/>
                </a:schemeClr>
              </a:solidFill>
              <a:latin typeface="+mn-lt"/>
              <a:ea typeface="+mn-ea"/>
              <a:cs typeface="+mn-cs"/>
            </a:defRPr>
          </a:pPr>
          <a:endParaRPr lang="en-US"/>
        </a:p>
      </c:txPr>
    </c:title>
    <c:autoTitleDeleted val="0"/>
    <c:view3D>
      <c:rotX val="8"/>
      <c:rotY val="1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6224150813265131"/>
          <c:y val="0.16339901477832514"/>
          <c:w val="0.79761250646588888"/>
          <c:h val="0.64361837423383306"/>
        </c:manualLayout>
      </c:layout>
      <c:bar3DChart>
        <c:barDir val="col"/>
        <c:grouping val="stacked"/>
        <c:varyColors val="0"/>
        <c:ser>
          <c:idx val="0"/>
          <c:order val="0"/>
          <c:tx>
            <c:strRef>
              <c:f>Sheet1!$B$1</c:f>
              <c:strCache>
                <c:ptCount val="1"/>
                <c:pt idx="0">
                  <c:v>რეზიდენტი</c:v>
                </c:pt>
              </c:strCache>
            </c:strRef>
          </c:tx>
          <c:spPr>
            <a:gradFill rotWithShape="1">
              <a:gsLst>
                <a:gs pos="0">
                  <a:schemeClr val="accent5">
                    <a:lumMod val="75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2"/>
                    </a:solidFill>
                    <a:latin typeface="+mn-lt"/>
                    <a:ea typeface="+mn-ea"/>
                    <a:cs typeface="+mn-cs"/>
                  </a:defRPr>
                </a:pPr>
                <a:endParaRPr lang="en-US"/>
              </a:p>
            </c:txPr>
            <c:showLegendKey val="1"/>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Sheet1!$A$2:$A$3</c:f>
              <c:numCache>
                <c:formatCode>General</c:formatCode>
                <c:ptCount val="2"/>
                <c:pt idx="0">
                  <c:v>2022</c:v>
                </c:pt>
                <c:pt idx="1">
                  <c:v>2023</c:v>
                </c:pt>
              </c:numCache>
            </c:numRef>
          </c:cat>
          <c:val>
            <c:numRef>
              <c:f>Sheet1!$B$2:$B$3</c:f>
              <c:numCache>
                <c:formatCode>General</c:formatCode>
                <c:ptCount val="2"/>
                <c:pt idx="0">
                  <c:v>65293</c:v>
                </c:pt>
                <c:pt idx="1">
                  <c:v>70832</c:v>
                </c:pt>
              </c:numCache>
            </c:numRef>
          </c:val>
          <c:extLst>
            <c:ext xmlns:c16="http://schemas.microsoft.com/office/drawing/2014/chart" uri="{C3380CC4-5D6E-409C-BE32-E72D297353CC}">
              <c16:uniqueId val="{00000000-CC22-4435-B41A-D756DE18950F}"/>
            </c:ext>
          </c:extLst>
        </c:ser>
        <c:ser>
          <c:idx val="1"/>
          <c:order val="1"/>
          <c:tx>
            <c:strRef>
              <c:f>Sheet1!$C$1</c:f>
              <c:strCache>
                <c:ptCount val="1"/>
                <c:pt idx="0">
                  <c:v>არ არის დადგენილი</c:v>
                </c:pt>
              </c:strCache>
            </c:strRef>
          </c:tx>
          <c:spPr>
            <a:solidFill>
              <a:srgbClr val="FFC000"/>
            </a:solidFill>
            <a:ln>
              <a:noFill/>
            </a:ln>
            <a:effectLst/>
            <a:sp3d/>
          </c:spPr>
          <c:invertIfNegative val="0"/>
          <c:dLbls>
            <c:dLbl>
              <c:idx val="0"/>
              <c:layout>
                <c:manualLayout>
                  <c:x val="0.11193080641058255"/>
                  <c:y val="-1.2513686844986703E-2"/>
                </c:manualLayout>
              </c:layout>
              <c:showLegendKey val="1"/>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C22-4435-B41A-D756DE18950F}"/>
                </c:ext>
              </c:extLst>
            </c:dLbl>
            <c:dLbl>
              <c:idx val="1"/>
              <c:layout>
                <c:manualLayout>
                  <c:x val="0.15772068176036633"/>
                  <c:y val="-6.2568434224933517E-3"/>
                </c:manualLayout>
              </c:layout>
              <c:showLegendKey val="1"/>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C22-4435-B41A-D756DE18950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Sheet1!$A$2:$A$3</c:f>
              <c:numCache>
                <c:formatCode>General</c:formatCode>
                <c:ptCount val="2"/>
                <c:pt idx="0">
                  <c:v>2022</c:v>
                </c:pt>
                <c:pt idx="1">
                  <c:v>2023</c:v>
                </c:pt>
              </c:numCache>
            </c:numRef>
          </c:cat>
          <c:val>
            <c:numRef>
              <c:f>Sheet1!$C$2:$C$3</c:f>
              <c:numCache>
                <c:formatCode>General</c:formatCode>
                <c:ptCount val="2"/>
                <c:pt idx="0">
                  <c:v>0</c:v>
                </c:pt>
                <c:pt idx="1">
                  <c:v>254</c:v>
                </c:pt>
              </c:numCache>
            </c:numRef>
          </c:val>
          <c:extLst>
            <c:ext xmlns:c16="http://schemas.microsoft.com/office/drawing/2014/chart" uri="{C3380CC4-5D6E-409C-BE32-E72D297353CC}">
              <c16:uniqueId val="{00000003-CC22-4435-B41A-D756DE18950F}"/>
            </c:ext>
          </c:extLst>
        </c:ser>
        <c:ser>
          <c:idx val="2"/>
          <c:order val="2"/>
          <c:tx>
            <c:strRef>
              <c:f>Sheet1!$D$1</c:f>
              <c:strCache>
                <c:ptCount val="1"/>
                <c:pt idx="0">
                  <c:v>არარეზიდენტი</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dLbl>
              <c:idx val="0"/>
              <c:layout>
                <c:manualLayout>
                  <c:x val="-8.6485576990487478E-2"/>
                  <c:y val="-4.6996530407889536E-2"/>
                </c:manualLayout>
              </c:layout>
              <c:showLegendKey val="1"/>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C22-4435-B41A-D756DE18950F}"/>
                </c:ext>
              </c:extLst>
            </c:dLbl>
            <c:dLbl>
              <c:idx val="1"/>
              <c:layout>
                <c:manualLayout>
                  <c:x val="0.13737532808398958"/>
                  <c:y val="-3.5046417808885032E-2"/>
                </c:manualLayout>
              </c:layout>
              <c:tx>
                <c:rich>
                  <a:bodyPr rot="0" spcFirstLastPara="1" vertOverflow="ellipsis" vert="horz" wrap="square" lIns="38100" tIns="19050" rIns="38100" bIns="19050" anchor="ctr" anchorCtr="1">
                    <a:noAutofit/>
                  </a:bodyPr>
                  <a:lstStyle/>
                  <a:p>
                    <a:pPr>
                      <a:defRPr sz="800" b="0" i="0" u="none" strike="noStrike" kern="1200" baseline="0">
                        <a:solidFill>
                          <a:schemeClr val="tx2"/>
                        </a:solidFill>
                        <a:latin typeface="+mn-lt"/>
                        <a:ea typeface="+mn-ea"/>
                        <a:cs typeface="+mn-cs"/>
                      </a:defRPr>
                    </a:pPr>
                    <a:fld id="{8C48F15D-8881-4901-9F4F-5CB39FBE11D5}" type="VALUE">
                      <a:rPr lang="en-US" sz="900"/>
                      <a:pPr>
                        <a:defRPr sz="800"/>
                      </a:pPr>
                      <a:t>[VALUE]</a:t>
                    </a:fld>
                    <a:endParaRPr lang="en-US"/>
                  </a:p>
                </c:rich>
              </c:tx>
              <c:numFmt formatCode="#,##0" sourceLinked="0"/>
              <c:spPr>
                <a:noFill/>
                <a:ln>
                  <a:noFill/>
                </a:ln>
                <a:effectLst/>
              </c:spPr>
              <c:txPr>
                <a:bodyPr rot="0" spcFirstLastPara="1" vertOverflow="ellipsis" vert="horz" wrap="square" lIns="38100" tIns="19050" rIns="38100" bIns="19050" anchor="ctr" anchorCtr="1">
                  <a:noAutofit/>
                </a:bodyPr>
                <a:lstStyle/>
                <a:p>
                  <a:pPr>
                    <a:defRPr sz="800" b="0" i="0" u="none" strike="noStrike" kern="1200" baseline="0">
                      <a:solidFill>
                        <a:schemeClr val="tx2"/>
                      </a:solidFill>
                      <a:latin typeface="+mn-lt"/>
                      <a:ea typeface="+mn-ea"/>
                      <a:cs typeface="+mn-cs"/>
                    </a:defRPr>
                  </a:pPr>
                  <a:endParaRPr lang="en-US"/>
                </a:p>
              </c:txPr>
              <c:showLegendKey val="1"/>
              <c:showVal val="1"/>
              <c:showCatName val="0"/>
              <c:showSerName val="0"/>
              <c:showPercent val="0"/>
              <c:showBubbleSize val="0"/>
              <c:extLst>
                <c:ext xmlns:c15="http://schemas.microsoft.com/office/drawing/2012/chart" uri="{CE6537A1-D6FC-4f65-9D91-7224C49458BB}">
                  <c15:layout>
                    <c:manualLayout>
                      <c:w val="7.7532013043824066E-2"/>
                      <c:h val="5.3197968309516869E-2"/>
                    </c:manualLayout>
                  </c15:layout>
                  <c15:dlblFieldTable/>
                  <c15:showDataLabelsRange val="0"/>
                </c:ext>
                <c:ext xmlns:c16="http://schemas.microsoft.com/office/drawing/2014/chart" uri="{C3380CC4-5D6E-409C-BE32-E72D297353CC}">
                  <c16:uniqueId val="{00000005-CC22-4435-B41A-D756DE18950F}"/>
                </c:ext>
              </c:extLst>
            </c:dLbl>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1"/>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Sheet1!$A$2:$A$3</c:f>
              <c:numCache>
                <c:formatCode>General</c:formatCode>
                <c:ptCount val="2"/>
                <c:pt idx="0">
                  <c:v>2022</c:v>
                </c:pt>
                <c:pt idx="1">
                  <c:v>2023</c:v>
                </c:pt>
              </c:numCache>
            </c:numRef>
          </c:cat>
          <c:val>
            <c:numRef>
              <c:f>Sheet1!$D$2:$D$3</c:f>
              <c:numCache>
                <c:formatCode>General</c:formatCode>
                <c:ptCount val="2"/>
                <c:pt idx="0">
                  <c:v>1163</c:v>
                </c:pt>
                <c:pt idx="1">
                  <c:v>3843</c:v>
                </c:pt>
              </c:numCache>
            </c:numRef>
          </c:val>
          <c:extLst>
            <c:ext xmlns:c16="http://schemas.microsoft.com/office/drawing/2014/chart" uri="{C3380CC4-5D6E-409C-BE32-E72D297353CC}">
              <c16:uniqueId val="{00000006-CC22-4435-B41A-D756DE18950F}"/>
            </c:ext>
          </c:extLst>
        </c:ser>
        <c:dLbls>
          <c:showLegendKey val="0"/>
          <c:showVal val="1"/>
          <c:showCatName val="0"/>
          <c:showSerName val="0"/>
          <c:showPercent val="0"/>
          <c:showBubbleSize val="0"/>
        </c:dLbls>
        <c:gapWidth val="100"/>
        <c:gapDepth val="100"/>
        <c:shape val="cylinder"/>
        <c:axId val="922433775"/>
        <c:axId val="922419215"/>
        <c:axId val="0"/>
      </c:bar3DChart>
      <c:catAx>
        <c:axId val="922433775"/>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922419215"/>
        <c:crosses val="autoZero"/>
        <c:auto val="1"/>
        <c:lblAlgn val="ctr"/>
        <c:lblOffset val="100"/>
        <c:noMultiLvlLbl val="0"/>
      </c:catAx>
      <c:valAx>
        <c:axId val="922419215"/>
        <c:scaling>
          <c:orientation val="minMax"/>
          <c:max val="75000"/>
          <c:min val="25000"/>
        </c:scaling>
        <c:delete val="0"/>
        <c:axPos val="l"/>
        <c:majorGridlines>
          <c:spPr>
            <a:ln w="9525" cap="flat" cmpd="sng" algn="ctr">
              <a:solidFill>
                <a:schemeClr val="tx2">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9224337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lgn="just">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drawings/drawing1.xml><?xml version="1.0" encoding="utf-8"?>
<c:userShapes xmlns:c="http://schemas.openxmlformats.org/drawingml/2006/chart">
  <cdr:relSizeAnchor xmlns:cdr="http://schemas.openxmlformats.org/drawingml/2006/chartDrawing">
    <cdr:from>
      <cdr:x>0.38447</cdr:x>
      <cdr:y>0.21288</cdr:y>
    </cdr:from>
    <cdr:to>
      <cdr:x>0.6258</cdr:x>
      <cdr:y>0.26529</cdr:y>
    </cdr:to>
    <cdr:cxnSp macro="">
      <cdr:nvCxnSpPr>
        <cdr:cNvPr id="14" name="Elbow Connector 13"/>
        <cdr:cNvCxnSpPr/>
      </cdr:nvCxnSpPr>
      <cdr:spPr>
        <a:xfrm xmlns:a="http://schemas.openxmlformats.org/drawingml/2006/main" flipV="1">
          <a:off x="1933576" y="875939"/>
          <a:ext cx="1213720" cy="215662"/>
        </a:xfrm>
        <a:prstGeom xmlns:a="http://schemas.openxmlformats.org/drawingml/2006/main" prst="bentConnector3">
          <a:avLst>
            <a:gd name="adj1" fmla="val 1455"/>
          </a:avLst>
        </a:prstGeom>
        <a:ln xmlns:a="http://schemas.openxmlformats.org/drawingml/2006/main" w="28575">
          <a:solidFill>
            <a:srgbClr val="FF0000"/>
          </a:solidFill>
          <a:prstDash val="sysDot"/>
          <a:tailEnd type="triangl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0.4704</cdr:x>
      <cdr:y>0.14112</cdr:y>
    </cdr:from>
    <cdr:to>
      <cdr:x>0.59344</cdr:x>
      <cdr:y>0.20055</cdr:y>
    </cdr:to>
    <cdr:sp macro="" textlink="">
      <cdr:nvSpPr>
        <cdr:cNvPr id="16" name="Text Box 15"/>
        <cdr:cNvSpPr txBox="1"/>
      </cdr:nvSpPr>
      <cdr:spPr>
        <a:xfrm xmlns:a="http://schemas.openxmlformats.org/drawingml/2006/main">
          <a:off x="2365725" y="580667"/>
          <a:ext cx="618793" cy="244542"/>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ka-GE" sz="1200" b="1">
              <a:solidFill>
                <a:srgbClr val="FF0000"/>
              </a:solidFill>
              <a:latin typeface="Calibri" panose="020F0502020204030204" pitchFamily="34" charset="0"/>
              <a:cs typeface="Calibri" panose="020F0502020204030204" pitchFamily="34" charset="0"/>
            </a:rPr>
            <a:t>+13%</a:t>
          </a:r>
          <a:endParaRPr lang="en-US" sz="1200" b="1">
            <a:solidFill>
              <a:srgbClr val="FF0000"/>
            </a:solidFill>
            <a:latin typeface="Brush Script MT" panose="03060802040406070304" pitchFamily="66" charset="0"/>
            <a:cs typeface="Calibri" panose="020F0502020204030204" pitchFamily="34"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06F85-977B-4807-BD3D-57263E3F6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10755</Words>
  <Characters>61308</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Natalia Varadashvili</cp:lastModifiedBy>
  <cp:revision>9</cp:revision>
  <cp:lastPrinted>2024-06-07T05:10:00Z</cp:lastPrinted>
  <dcterms:created xsi:type="dcterms:W3CDTF">2024-06-06T13:09:00Z</dcterms:created>
  <dcterms:modified xsi:type="dcterms:W3CDTF">2024-06-07T09:17:00Z</dcterms:modified>
</cp:coreProperties>
</file>