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2C5" w:rsidRPr="00DA7818" w:rsidRDefault="001672C5" w:rsidP="00DA7818">
      <w:pPr>
        <w:pStyle w:val="abzacixml"/>
        <w:rPr>
          <w:b/>
          <w:bCs/>
        </w:rPr>
      </w:pPr>
      <w:r w:rsidRPr="00DA7818">
        <w:rPr>
          <w:b/>
          <w:bCs/>
        </w:rPr>
        <w:t>საქმე №2/16282-14 (330210314598241</w:t>
      </w:r>
      <w:r w:rsidRPr="0040775A">
        <w:rPr>
          <w:b/>
          <w:bCs/>
        </w:rPr>
        <w:t>)</w:t>
      </w:r>
    </w:p>
    <w:p w:rsidR="001672C5" w:rsidRPr="00DA7818" w:rsidRDefault="001672C5" w:rsidP="00DA7818">
      <w:pPr>
        <w:pStyle w:val="abzacixml"/>
        <w:rPr>
          <w:b/>
          <w:bCs/>
        </w:rPr>
      </w:pPr>
    </w:p>
    <w:p w:rsidR="001672C5" w:rsidRPr="00DA7818" w:rsidRDefault="001672C5" w:rsidP="00DA7818">
      <w:pPr>
        <w:pStyle w:val="abzacixml"/>
        <w:jc w:val="center"/>
        <w:rPr>
          <w:b/>
          <w:bCs/>
        </w:rPr>
      </w:pPr>
      <w:r w:rsidRPr="00DA7818">
        <w:rPr>
          <w:b/>
          <w:bCs/>
        </w:rPr>
        <w:t>განჩინება</w:t>
      </w:r>
    </w:p>
    <w:p w:rsidR="001672C5" w:rsidRPr="00DA7818" w:rsidRDefault="001672C5" w:rsidP="00DA7818">
      <w:pPr>
        <w:pStyle w:val="abzacixml"/>
        <w:jc w:val="center"/>
        <w:rPr>
          <w:b/>
          <w:bCs/>
        </w:rPr>
      </w:pPr>
      <w:r w:rsidRPr="00DA7818">
        <w:rPr>
          <w:b/>
          <w:bCs/>
        </w:rPr>
        <w:t>საქართველოს სახელით</w:t>
      </w:r>
    </w:p>
    <w:p w:rsidR="001672C5" w:rsidRPr="00DA7818" w:rsidRDefault="001672C5" w:rsidP="00DA7818">
      <w:pPr>
        <w:pStyle w:val="abzacixml"/>
        <w:jc w:val="center"/>
        <w:rPr>
          <w:b/>
          <w:bCs/>
        </w:rPr>
      </w:pPr>
    </w:p>
    <w:p w:rsidR="001672C5" w:rsidRPr="00DA7818" w:rsidRDefault="001672C5" w:rsidP="00DA7818">
      <w:pPr>
        <w:pStyle w:val="abzacixml"/>
        <w:jc w:val="center"/>
        <w:rPr>
          <w:b/>
          <w:bCs/>
        </w:rPr>
      </w:pPr>
      <w:r w:rsidRPr="00DA7818">
        <w:rPr>
          <w:b/>
          <w:bCs/>
        </w:rPr>
        <w:t>განცხადების წარმოებაში მიღებაზე უარის თქმის შესახებ</w:t>
      </w:r>
    </w:p>
    <w:p w:rsidR="001672C5" w:rsidRPr="00DA7818" w:rsidRDefault="001672C5" w:rsidP="00DA7818">
      <w:pPr>
        <w:pStyle w:val="abzacixml"/>
        <w:jc w:val="center"/>
        <w:rPr>
          <w:b/>
          <w:bCs/>
        </w:rPr>
      </w:pPr>
    </w:p>
    <w:p w:rsidR="001672C5" w:rsidRPr="00DA7818" w:rsidRDefault="001672C5" w:rsidP="00DA7818">
      <w:pPr>
        <w:pStyle w:val="abzacixml"/>
        <w:jc w:val="center"/>
        <w:rPr>
          <w:b/>
          <w:bCs/>
        </w:rPr>
      </w:pPr>
      <w:r w:rsidRPr="00DA7818">
        <w:rPr>
          <w:b/>
          <w:bCs/>
        </w:rPr>
        <w:t>2013 წლის 22 სექტემბერი</w:t>
      </w:r>
    </w:p>
    <w:p w:rsidR="001672C5" w:rsidRPr="00DA7818" w:rsidRDefault="001672C5" w:rsidP="00DA7818">
      <w:pPr>
        <w:pStyle w:val="abzacixml"/>
        <w:jc w:val="center"/>
        <w:rPr>
          <w:b/>
          <w:bCs/>
        </w:rPr>
      </w:pPr>
      <w:r w:rsidRPr="00DA7818">
        <w:rPr>
          <w:b/>
          <w:bCs/>
        </w:rPr>
        <w:t>ქ. თბილისი</w:t>
      </w:r>
    </w:p>
    <w:p w:rsidR="001672C5" w:rsidRPr="00DA7818" w:rsidRDefault="001672C5" w:rsidP="00DA7818">
      <w:pPr>
        <w:pStyle w:val="abzacixml"/>
        <w:jc w:val="center"/>
        <w:rPr>
          <w:b/>
          <w:bCs/>
        </w:rPr>
      </w:pPr>
    </w:p>
    <w:p w:rsidR="001672C5" w:rsidRPr="00DA7818" w:rsidRDefault="001672C5" w:rsidP="00DA7818">
      <w:pPr>
        <w:pStyle w:val="abzacixml"/>
        <w:jc w:val="center"/>
        <w:rPr>
          <w:b/>
          <w:bCs/>
        </w:rPr>
      </w:pPr>
      <w:r w:rsidRPr="00DA7818">
        <w:rPr>
          <w:b/>
          <w:bCs/>
        </w:rPr>
        <w:t>თბილისის საქალაქო სასამართლო</w:t>
      </w:r>
    </w:p>
    <w:p w:rsidR="001672C5" w:rsidRPr="00DA7818" w:rsidRDefault="001672C5" w:rsidP="00DA7818">
      <w:pPr>
        <w:pStyle w:val="abzacixml"/>
        <w:jc w:val="center"/>
        <w:rPr>
          <w:b/>
          <w:bCs/>
        </w:rPr>
      </w:pPr>
      <w:r w:rsidRPr="00DA7818">
        <w:rPr>
          <w:b/>
          <w:bCs/>
        </w:rPr>
        <w:t>მოსამართლე ბესიკ სისვაძე</w:t>
      </w:r>
    </w:p>
    <w:p w:rsidR="001672C5" w:rsidRPr="00DA7818" w:rsidRDefault="001672C5" w:rsidP="00DA7818">
      <w:pPr>
        <w:pStyle w:val="abzacixml"/>
      </w:pPr>
    </w:p>
    <w:p w:rsidR="001672C5" w:rsidRPr="00DA7818" w:rsidRDefault="001672C5" w:rsidP="00DA7818">
      <w:pPr>
        <w:pStyle w:val="abzacixml"/>
      </w:pPr>
      <w:r w:rsidRPr="00DA7818">
        <w:t>განმცხადებელი: შპს „River Georgia Group” (ს/კ 404860174)</w:t>
      </w:r>
    </w:p>
    <w:p w:rsidR="001672C5" w:rsidRPr="00DA7818" w:rsidRDefault="001672C5" w:rsidP="00DA7818">
      <w:pPr>
        <w:pStyle w:val="abzacixml"/>
      </w:pPr>
      <w:r w:rsidRPr="00DA7818">
        <w:t xml:space="preserve">წარმომადგენელი: ინგა გაბრიელიანი </w:t>
      </w:r>
    </w:p>
    <w:p w:rsidR="001672C5" w:rsidRPr="00DA7818" w:rsidRDefault="001672C5" w:rsidP="00DA7818">
      <w:pPr>
        <w:pStyle w:val="abzacixml"/>
      </w:pPr>
      <w:r w:rsidRPr="00DA7818">
        <w:t xml:space="preserve">მოთხოვნა: გაკოტრების საქმის წარმოების გახსნა. </w:t>
      </w:r>
    </w:p>
    <w:p w:rsidR="001672C5" w:rsidRPr="00DA7818" w:rsidRDefault="001672C5" w:rsidP="00DA7818">
      <w:pPr>
        <w:pStyle w:val="abzacixml"/>
      </w:pPr>
      <w:r w:rsidRPr="00DA7818">
        <w:t>სასამართლომ ზეპირი მოსმენის გარეშე განიხილა განცხადების წარმოებაში მიღების საკითხი და</w:t>
      </w:r>
    </w:p>
    <w:p w:rsidR="001672C5" w:rsidRPr="00DA7818" w:rsidRDefault="001672C5" w:rsidP="00DA7818">
      <w:pPr>
        <w:pStyle w:val="abzacixml"/>
        <w:jc w:val="center"/>
        <w:rPr>
          <w:b/>
          <w:bCs/>
        </w:rPr>
      </w:pPr>
    </w:p>
    <w:p w:rsidR="001672C5" w:rsidRPr="00DA7818" w:rsidRDefault="001672C5" w:rsidP="00DA7818">
      <w:pPr>
        <w:pStyle w:val="abzacixml"/>
        <w:jc w:val="center"/>
        <w:rPr>
          <w:b/>
          <w:bCs/>
        </w:rPr>
      </w:pPr>
      <w:r w:rsidRPr="00DA7818">
        <w:rPr>
          <w:b/>
          <w:bCs/>
        </w:rPr>
        <w:t>გ ა მ ო ა რ კ ვ ი ა:</w:t>
      </w:r>
    </w:p>
    <w:p w:rsidR="001672C5" w:rsidRPr="00DA7818" w:rsidRDefault="001672C5" w:rsidP="00DA7818">
      <w:pPr>
        <w:pStyle w:val="abzacixml"/>
      </w:pPr>
      <w:r w:rsidRPr="00DA7818">
        <w:t xml:space="preserve">თბილისის საქალაქო სასამართლოს სამოქალაქო საქმეთა კოლეგიას 2014 წლის 18 სექტემბერს განცხადებით მომართა შპს „River Georgia Group”-ის წარმომადგენელმა ინგა გაბრიელიანმა (იხ. რწმუნებულება) და ითხოვა შპს </w:t>
      </w:r>
      <w:r>
        <w:t>„</w:t>
      </w:r>
      <w:r w:rsidRPr="00DA7818">
        <w:t xml:space="preserve">River Georgia Group”-ის მიმართ გაკოტრების საქმის წარმოების დაწყება. </w:t>
      </w:r>
    </w:p>
    <w:p w:rsidR="001672C5" w:rsidRPr="00DA7818" w:rsidRDefault="001672C5" w:rsidP="00DA7818">
      <w:pPr>
        <w:pStyle w:val="abzacixml"/>
      </w:pPr>
      <w:r w:rsidRPr="00DA7818">
        <w:t xml:space="preserve">განცხადებაში აღნიშნულია, რომ შპს „River Georgia Group”-ის კრედიტორს წარმოადგენს სსიპ </w:t>
      </w:r>
      <w:r>
        <w:t xml:space="preserve">– </w:t>
      </w:r>
      <w:r w:rsidRPr="00DA7818">
        <w:t xml:space="preserve">შემოსავლების სამსახური, რომლის მიმართ კომპანიის დავალიანება ჯამში შეადგენს 6 314,04 (ექვსი ათას სამას თოთხმეტი მთელი ოთხი მეასედი) ლარს. განმცხადებლის მითითებით, საწარმოს დღეის მდგომარეობით შეწყვეტილი აქვს საქმიანობა და არ გააჩნია ვადამოსული მოთხოვნის დაკმაყოფილების შესაძლებლობა. კომპანიას საბანკო ანგარიშებზე თანხა არ ერიცხება. განმცხადებლის მითითებით, საწარმოს სახელზე არ ირიცხება არც მექანიკური სატრანსპორტო საშუალება და არც უძრავი ქონება. </w:t>
      </w:r>
    </w:p>
    <w:p w:rsidR="001672C5" w:rsidRPr="00DA7818" w:rsidRDefault="001672C5" w:rsidP="00DA7818">
      <w:pPr>
        <w:pStyle w:val="abzacixml"/>
      </w:pPr>
      <w:r w:rsidRPr="00DA7818">
        <w:t>განმცხადებლის მტკიცებით, მოვალეს არ შესწევს უნარი დააკმაყოფილოს ვადამოსული მოთხოვნები და ამასთან, უზრუნველყოს გადახდისუუნარობის საქმის წარმოებისათვის საჭირო საპროცესო ხარჯის დაფარვა.</w:t>
      </w:r>
    </w:p>
    <w:p w:rsidR="001672C5" w:rsidRPr="00DA7818" w:rsidRDefault="001672C5" w:rsidP="00DA7818">
      <w:pPr>
        <w:pStyle w:val="abzacixml"/>
      </w:pPr>
      <w:r w:rsidRPr="00DA7818">
        <w:t>სასამართლო გაეცნო განცხადებას, მასზე თანდართულ დოკუმენტებს და მიიჩნევს, რომ შპს „River Georgia Group”-ს უარი უნდა ეთქვას განცხადების სასამართლო წარმოებაში მიღებაზე შემდეგი სახის საფუძველთა არსებობის გამო:</w:t>
      </w:r>
    </w:p>
    <w:p w:rsidR="001672C5" w:rsidRPr="00DA7818" w:rsidRDefault="001672C5" w:rsidP="00DA7818">
      <w:pPr>
        <w:pStyle w:val="abzacixml"/>
      </w:pPr>
      <w:r w:rsidRPr="00DA7818">
        <w:t xml:space="preserve">„გადახდისუუნარობის საქმის წარმოების შესახებ” საქართველოს კანონის მე-20 მუხლის მე-4 პუნქტის თანახმად, თუ მოვალე გადახდისუუნარობის შესახებ განცხადებით მოითხოვს გაკოტრებას და სასამართლო ხსენებული განცხადების საფუძველზე დაადგენს, რომ გადახდისუუნარობის შესახებ განცხადების შეტანის დროისათვის გაკოტრების დაწყების შემთხვევაში მოვალე თავისი ქონებით ვერ უზრუნველყოფს საპროცესო ხარჯების დაფარვას, სასამართლოს გამოაქვს განჩინება გადახდისუუნარობის შესახებ განცხადების წარმოებაში მიღებაზე უარის თქმის თაობაზე და მასში უთითებს, რომ მოვალე გაკოტრებულად გამოცხადდება რეგისტრაციის გაუქმების გზით, თუ ამ განჩინების გამოქვეყნებიდან ერთი თვის ვადაში კრედიტორმა იმავე მოვალის მიმართ არ შეიტანა სასამართლოში გადახდისუუნარობის შესახებ განცხადება. იგივე კანონის მე-20 მუხლის მე-5 პუნქტის თანახმად, სასამართლო მოვალის კრედიტორის ინფორმირებისათვის ამ მუხლის მე-4 პუნქტით გათვალისწინებული განჩინების გამოტანიდან არაუგვიანეს მე-3 დღისა „საქართველოს საკანონმდებლო მაცნეში” აქვეყნებს განჩინებას, რომელიც უნდა შეიცავდეს ინფორმაციას იმის თაობაზე, რომ მოვალის კრედიტორს შეუძლია მიმართოს სასამართლოს იმავე მოვალის მიმართ გადახდისუუნარობის შესახებ საქმის წარმოების დაწყებისა და მოვალის ქონებიდან მისი მოთხოვნის დაკმაყოფილების თაობაზე სასამართლოში გადახდისუუნარობის შესახებ განცხადების შეტანის გზით. მე-20 მუხლის მე-9 პუნქტის დანაწესის თანახმად კი, თუ ამ მუხლის მე-5 პუნქტით გათვალისწინებული ინფორმაციის გამოქვეყნებიდან ერთი თვის ვადაში კრედიტორი ამავე მუხლის მე-7 პუნქტით განსაზღვრულ გადახდისუუნარობის შესახებ განცხადებას არ შეიტანს სასამართლოში, სასამართლო მოვალეს გაკოტრებულად აცხადებს, რაც მოვალის რეგისტრაციის გაუქმების საფუძველია. </w:t>
      </w:r>
    </w:p>
    <w:p w:rsidR="001672C5" w:rsidRPr="00DA7818" w:rsidRDefault="001672C5" w:rsidP="00DA7818">
      <w:pPr>
        <w:pStyle w:val="abzacixml"/>
      </w:pPr>
      <w:r w:rsidRPr="00DA7818">
        <w:t xml:space="preserve">შპს „River Georgia Group”-ს ქონების სიმცირის სამტკიცებლად სასამართლოსათვის წარდგენილი აქვს მთელი რიგი მტკიცებულებები. საბანკო ანგარიშებიდან გაცემული ამონაწერებით დადასტურებულია, რომ შპს „River Georgia Group”-ის ანგარიშებზე თანხა არ ირიცხება. განმცხადებლის მიერ ასევე წარმოდგენილია სსიპ </w:t>
      </w:r>
      <w:r>
        <w:t xml:space="preserve">– </w:t>
      </w:r>
      <w:r w:rsidRPr="00DA7818">
        <w:t xml:space="preserve">საქართველოს შინაგან საქმეთა სამინისტროს მომსახურების სააგენტოს მიერ 2014 წლის 10 სექტემბერს გაცემული ცნობა, რომ შპს „River Georgia Group”-ის (ს/კ 404860174) სახელზე რაიმე მექანიკური სატრანსპორტო საშუალება არ არის რეგისტრირებული; სსიპ საჯარო რეესტრის ეროვნული სააგენტოს 2014 წლის 03 სექტემბრის ცნობის თანახმად, შპს „River Georgia Group” (ს/კ 404860174) საჯარო რეესტრში არსებული განცხადებებისა და უფლებების რეგისტრაციის ელექტრონული წიგნის მონაცემებით უძრავი ნივთის მესაკუთრედ არ არის რეგისტრირებული. </w:t>
      </w:r>
    </w:p>
    <w:p w:rsidR="001672C5" w:rsidRPr="00DA7818" w:rsidRDefault="001672C5" w:rsidP="00DA7818">
      <w:pPr>
        <w:pStyle w:val="abzacixml"/>
      </w:pPr>
      <w:r w:rsidRPr="00DA7818">
        <w:t xml:space="preserve">„გადახდისუუნარობის საქმის წარმოების შესახებ” საქართველოს კანონის 21-ე მუხლის პირველი პუნქტის „ა” ქვეპუნქტის თანახმად, გადახდისუუნარობის შესახებ განცხადების წარმოებაში მიღების თაობაზე განჩინებით ინიშნება მეურვე. აღნიშნული კანონის 26-ე მუხლის პირველი პუნქტით მეურვის უფლებამოსილების განხორციელება დაკისრებული აქვს საქართველოს იუსტიციის სამინისტროს მმართველოს სფეროში შემავალ საჯარო სამართლის იურიდიულ პირს </w:t>
      </w:r>
      <w:r>
        <w:t>–</w:t>
      </w:r>
      <w:r w:rsidRPr="00DA7818">
        <w:t xml:space="preserve"> აღსრულების ეროვნულ ბიუროს. იგივე კანონის 26-ე მუხლის მე-3 პუნქტის თანახმად, მეურვის უფლებამოსილების განხორციელებასთან დაკავშირებული აღსრულების ეროვნული ბიუროს მომსახურების საფასურის ოდენობა განსაზღვრულია საქართველოს იუსტიციის მინისტრის ბრძანებით. მომსახურების საფასური ანაზღაურდება სამეურვეო ქონებიდან. საქართველოს იუსტიციის მინისტრის 2010 წლის 30 ივლისის №144 ბრძანებით დამტკიცდა „სააღსრულებო წარმოებათა შესახებ” საქართველოს კანონით გათვალისწინებული საფასურის ოდენობისა და გადახდის წესი. ამ ნორმატიული აქტის მე-9 მუხლის პირველი პუნქტის თანახმად, აღსრულების ეროვნული ბიუროს მიერ გადახდისუუნარობის საქმის წარმოებისას მეურვის ფუნქციის განხორციელებისას მომსახურების გაწევის საფასური შეადგენს სამეურვეო ქონების საბაზრო ღირებულების 7%-ს, მაგრამ არანაკლებ 5000 ლარისა. </w:t>
      </w:r>
    </w:p>
    <w:p w:rsidR="001672C5" w:rsidRPr="00DA7818" w:rsidRDefault="001672C5" w:rsidP="00DA7818">
      <w:pPr>
        <w:pStyle w:val="abzacixml"/>
      </w:pPr>
      <w:r w:rsidRPr="00DA7818">
        <w:t>განსახილველ შემთხვევაში მოვალე შპს „River Georgia Group”-ს აქტივები არ გააჩნია. გადახდისუუნარობის (გაკოტრების) საქმის წარმოების დაწყების შემთხვევაში წინასწარ განჭვრეტადი ხარჯის ოდენობა არის მინიმუმ 5000 ლარი. ასეთ პირობებში ცხადი ხდება, რომ გადახდისუუნარობის საქმის წარმოების დაწყება ვერ უზრუნველყოფს ასეთი წარმოების მიზნის მიღწევის შესაძლებლობას, რაც მოვალისა და კრედიტორების ინტერესების თანაზომიერ დაცვას, შესაძლებლობის შემთხვევაში მოვალის ფინანსური სიძნელეების გადაჭრასა და კრედიტორთა მოთხოვნების დაკმაყოფილებას ან ამის შეუძლებლობის შემთხვევაში მოვალის ქონების რეალიზაციით მიღებული თანხების განაწილებით კრედიტორთა მოთხოვნების დაკმაყოფილებას გულისხმობს (იხ.</w:t>
      </w:r>
      <w:r>
        <w:t xml:space="preserve"> „</w:t>
      </w:r>
      <w:r w:rsidRPr="00DA7818">
        <w:t xml:space="preserve">გადახდისუუნარობის საქმის წარმოების შესახებ” საქართველოს კანონის პირველი მუხლი). ამდენად, სასამართლო მიიჩნევს, რომ არსებობს </w:t>
      </w:r>
      <w:r>
        <w:t>„</w:t>
      </w:r>
      <w:r w:rsidRPr="00DA7818">
        <w:t>გადახდისუუნარობის საქმის წარმოების შესახებ” საქართველოს კანონის მე-20 მუხლის მე-4 პუნქტით გათვალისწინებული ის საფუძველი, რომელიც გამორიცხავს გადახდისუუნარობის შესახებ განცხადების წარმოებაში მიღების შესაძლებლობას.</w:t>
      </w:r>
    </w:p>
    <w:p w:rsidR="001672C5" w:rsidRPr="00DA7818" w:rsidRDefault="001672C5" w:rsidP="00DA7818">
      <w:pPr>
        <w:pStyle w:val="abzacixml"/>
      </w:pPr>
      <w:r w:rsidRPr="00DA7818">
        <w:t>სასამართლომ იხელმძღვანელა „გად</w:t>
      </w:r>
      <w:r>
        <w:t>ახდისუუნარობის საქმის წარმოების</w:t>
      </w:r>
      <w:r w:rsidRPr="00DA7818">
        <w:t xml:space="preserve"> შესახებ</w:t>
      </w:r>
      <w:r>
        <w:t>”</w:t>
      </w:r>
      <w:r w:rsidRPr="00DA7818">
        <w:t xml:space="preserve"> საქართველოს კანონის მე-7, მე-8, მე-20 მუხლებით, საქართველოს სამოქალაქო საპროცესო კოდექსის 284-285-ე მუხლებით და</w:t>
      </w:r>
    </w:p>
    <w:p w:rsidR="001672C5" w:rsidRPr="00DA7818" w:rsidRDefault="001672C5" w:rsidP="00DA7818">
      <w:pPr>
        <w:pStyle w:val="abzacixml"/>
        <w:jc w:val="center"/>
        <w:rPr>
          <w:b/>
          <w:bCs/>
        </w:rPr>
      </w:pPr>
    </w:p>
    <w:p w:rsidR="001672C5" w:rsidRPr="00DA7818" w:rsidRDefault="001672C5" w:rsidP="00DA7818">
      <w:pPr>
        <w:pStyle w:val="abzacixml"/>
        <w:jc w:val="center"/>
        <w:rPr>
          <w:b/>
          <w:bCs/>
        </w:rPr>
      </w:pPr>
      <w:r w:rsidRPr="00DA7818">
        <w:rPr>
          <w:b/>
          <w:bCs/>
        </w:rPr>
        <w:t>დ ა ა დ გ ი ნ ა :</w:t>
      </w:r>
    </w:p>
    <w:p w:rsidR="001672C5" w:rsidRPr="00DA7818" w:rsidRDefault="001672C5" w:rsidP="00DA7818">
      <w:pPr>
        <w:pStyle w:val="abzacixml"/>
      </w:pPr>
      <w:r w:rsidRPr="00DA7818">
        <w:t>1. შპს „River Georgia Group”-ს (ს/კ 404860174) უარი ეთქვას მის მიმართ გაკოტრების საქმის წარმოების გახსნის შესახებ განცხადების წარმოებაში მიღებაზე.</w:t>
      </w:r>
    </w:p>
    <w:p w:rsidR="001672C5" w:rsidRPr="00DA7818" w:rsidRDefault="001672C5" w:rsidP="00DA7818">
      <w:pPr>
        <w:pStyle w:val="abzacixml"/>
      </w:pPr>
      <w:r w:rsidRPr="00DA7818">
        <w:t>2. განემარტოთ კრედიტორებს, რომ თუ ამ განჩინების გამოქვეყნებიდან ერთი თვის ვადაში კრედიტორთაგან რომელიმე შპს „River Georgia Group”-ის (ს/კ 404860174) მიმართ გადახდისუუნარობის შესახებ განცხადებას არ შეიტანს სასამართლოში, შპს ”River Georgia Group” (ს/კ 404860174) გამოცხადდება გაკოტრებულად, რაც თავის მხრივ განაპირობებს მოვალე შპს ” River Georgia Group”-ის (ს/კ 404860174) რეგისტრაციის გაუქმებას.</w:t>
      </w:r>
    </w:p>
    <w:p w:rsidR="001672C5" w:rsidRPr="00DA7818" w:rsidRDefault="001672C5" w:rsidP="00DA7818">
      <w:pPr>
        <w:pStyle w:val="abzacixml"/>
      </w:pPr>
      <w:r w:rsidRPr="00DA7818">
        <w:t xml:space="preserve">3. კრედიტორთა ინფორმირების მიზნით განჩინება არაუგვიანეს 2014 წლის 24 სექტემბრისა გამოქვეყნდეს „საქართველოს საკანონმდებლო მაცნეში”. განჩინების გამოქვეყნებასთან დაკავშირებული ხარჯები გადახდეს შპს </w:t>
      </w:r>
      <w:r>
        <w:t>„</w:t>
      </w:r>
      <w:r w:rsidRPr="00DA7818">
        <w:t>River Georgia Group”-ს (ს/კ 404860174) .</w:t>
      </w:r>
    </w:p>
    <w:p w:rsidR="001672C5" w:rsidRPr="00DA7818" w:rsidRDefault="001672C5" w:rsidP="00DA7818">
      <w:pPr>
        <w:pStyle w:val="abzacixml"/>
      </w:pPr>
      <w:r w:rsidRPr="00DA7818">
        <w:t>4. განჩინება შეიძლება გასაჩივრდეს თბილისის საქალაქო სასამართლოს სამოქალაქო საქმეთა კოლეგიაში კერძო საჩივრის შეტანის გზით განჩინების გამოქვეყნებიდან 5 (ხუთი) დღის განმავლობაში.</w:t>
      </w:r>
    </w:p>
    <w:p w:rsidR="001672C5" w:rsidRPr="00DA7818" w:rsidRDefault="001672C5" w:rsidP="00DA7818">
      <w:pPr>
        <w:pStyle w:val="abzacixml"/>
        <w:rPr>
          <w:b/>
          <w:bCs/>
        </w:rPr>
      </w:pPr>
      <w:r w:rsidRPr="00DA7818">
        <w:t xml:space="preserve"> </w:t>
      </w:r>
    </w:p>
    <w:p w:rsidR="001672C5" w:rsidRPr="00DA7818" w:rsidRDefault="001672C5" w:rsidP="00DA7818">
      <w:pPr>
        <w:pStyle w:val="abzacixml"/>
        <w:rPr>
          <w:b/>
          <w:bCs/>
        </w:rPr>
      </w:pPr>
      <w:r w:rsidRPr="00DA7818">
        <w:rPr>
          <w:b/>
          <w:bCs/>
        </w:rPr>
        <w:t xml:space="preserve">       მოსამართლე                             </w:t>
      </w:r>
      <w:r>
        <w:rPr>
          <w:b/>
          <w:bCs/>
        </w:rPr>
        <w:t xml:space="preserve">                   </w:t>
      </w:r>
      <w:r w:rsidRPr="00DA7818">
        <w:rPr>
          <w:b/>
          <w:bCs/>
        </w:rPr>
        <w:t xml:space="preserve">                ბესიკ სისვაძე      </w:t>
      </w:r>
    </w:p>
    <w:p w:rsidR="001672C5" w:rsidRPr="00DA7818" w:rsidRDefault="001672C5" w:rsidP="00DA7818">
      <w:pPr>
        <w:pStyle w:val="abzacixml"/>
      </w:pPr>
    </w:p>
    <w:p w:rsidR="001672C5" w:rsidRPr="00DA7818" w:rsidRDefault="001672C5" w:rsidP="00DA7818">
      <w:pPr>
        <w:pStyle w:val="abzacixml"/>
      </w:pPr>
    </w:p>
    <w:sectPr w:rsidR="001672C5" w:rsidRPr="00DA7818" w:rsidSect="00FF1519">
      <w:footerReference w:type="default" r:id="rId7"/>
      <w:pgSz w:w="12240" w:h="15840"/>
      <w:pgMar w:top="605" w:right="850" w:bottom="1134" w:left="198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72C5" w:rsidRDefault="001672C5">
      <w:pPr>
        <w:spacing w:after="0" w:line="240" w:lineRule="auto"/>
      </w:pPr>
      <w:r>
        <w:separator/>
      </w:r>
    </w:p>
  </w:endnote>
  <w:endnote w:type="continuationSeparator" w:id="0">
    <w:p w:rsidR="001672C5" w:rsidRDefault="00167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2C5" w:rsidRDefault="001672C5" w:rsidP="00FF1519">
    <w:r>
      <w:rPr>
        <w:color w:val="000000"/>
      </w:rPr>
      <w:fldChar w:fldCharType="begin"/>
    </w:r>
    <w:r>
      <w:rPr>
        <w:color w:val="000000"/>
      </w:rPr>
      <w:instrText xml:space="preserve"> PAGE </w:instrText>
    </w:r>
    <w:r>
      <w:rPr>
        <w:color w:val="000000"/>
      </w:rPr>
      <w:fldChar w:fldCharType="separate"/>
    </w:r>
    <w:r>
      <w:rPr>
        <w:noProof/>
        <w:color w:val="000000"/>
      </w:rPr>
      <w:t>2</w:t>
    </w:r>
    <w:r>
      <w:rPr>
        <w:color w:val="00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72C5" w:rsidRDefault="001672C5">
      <w:pPr>
        <w:spacing w:after="0" w:line="240" w:lineRule="auto"/>
      </w:pPr>
      <w:r>
        <w:separator/>
      </w:r>
    </w:p>
  </w:footnote>
  <w:footnote w:type="continuationSeparator" w:id="0">
    <w:p w:rsidR="001672C5" w:rsidRDefault="001672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9F0856"/>
    <w:multiLevelType w:val="hybridMultilevel"/>
    <w:tmpl w:val="FFFFFFFF"/>
    <w:lvl w:ilvl="0" w:tplc="97947684">
      <w:start w:val="1"/>
      <w:numFmt w:val="decimal"/>
      <w:lvlText w:val="%1."/>
      <w:lvlJc w:val="left"/>
      <w:pPr>
        <w:ind w:left="720" w:hanging="360"/>
      </w:pPr>
      <w:rPr>
        <w:b/>
        <w:bCs/>
        <w:color w:val="000000"/>
      </w:rPr>
    </w:lvl>
    <w:lvl w:ilvl="1" w:tplc="04090019">
      <w:start w:val="1"/>
      <w:numFmt w:val="lowerLetter"/>
      <w:lvlText w:val="%2."/>
      <w:lvlJc w:val="left"/>
      <w:pPr>
        <w:ind w:left="1440" w:hanging="360"/>
      </w:pPr>
      <w:rPr>
        <w:color w:val="000000"/>
      </w:rPr>
    </w:lvl>
    <w:lvl w:ilvl="2" w:tplc="0409001B">
      <w:start w:val="1"/>
      <w:numFmt w:val="lowerRoman"/>
      <w:lvlText w:val="%3."/>
      <w:lvlJc w:val="right"/>
      <w:pPr>
        <w:ind w:left="2160" w:hanging="180"/>
      </w:pPr>
      <w:rPr>
        <w:color w:val="000000"/>
      </w:rPr>
    </w:lvl>
    <w:lvl w:ilvl="3" w:tplc="97947684">
      <w:start w:val="1"/>
      <w:numFmt w:val="decimal"/>
      <w:lvlText w:val="%4."/>
      <w:lvlJc w:val="left"/>
      <w:pPr>
        <w:ind w:left="2880" w:hanging="360"/>
      </w:pPr>
      <w:rPr>
        <w:color w:val="000000"/>
      </w:rPr>
    </w:lvl>
    <w:lvl w:ilvl="4" w:tplc="04090019">
      <w:start w:val="1"/>
      <w:numFmt w:val="lowerLetter"/>
      <w:lvlText w:val="%5."/>
      <w:lvlJc w:val="left"/>
      <w:pPr>
        <w:ind w:left="3600" w:hanging="360"/>
      </w:pPr>
      <w:rPr>
        <w:color w:val="000000"/>
      </w:rPr>
    </w:lvl>
    <w:lvl w:ilvl="5" w:tplc="0409001B">
      <w:start w:val="1"/>
      <w:numFmt w:val="lowerRoman"/>
      <w:lvlText w:val="%6."/>
      <w:lvlJc w:val="right"/>
      <w:pPr>
        <w:ind w:left="4320" w:hanging="180"/>
      </w:pPr>
      <w:rPr>
        <w:color w:val="000000"/>
      </w:rPr>
    </w:lvl>
    <w:lvl w:ilvl="6" w:tplc="97947684">
      <w:start w:val="1"/>
      <w:numFmt w:val="decimal"/>
      <w:lvlText w:val="%7."/>
      <w:lvlJc w:val="left"/>
      <w:pPr>
        <w:ind w:left="5040" w:hanging="360"/>
      </w:pPr>
      <w:rPr>
        <w:color w:val="000000"/>
      </w:rPr>
    </w:lvl>
    <w:lvl w:ilvl="7" w:tplc="04090019">
      <w:start w:val="1"/>
      <w:numFmt w:val="lowerLetter"/>
      <w:lvlText w:val="%8."/>
      <w:lvlJc w:val="left"/>
      <w:pPr>
        <w:ind w:left="5760" w:hanging="360"/>
      </w:pPr>
      <w:rPr>
        <w:color w:val="000000"/>
      </w:rPr>
    </w:lvl>
    <w:lvl w:ilvl="8" w:tplc="0409001B">
      <w:start w:val="1"/>
      <w:numFmt w:val="lowerRoman"/>
      <w:lvlText w:val="%9."/>
      <w:lvlJc w:val="right"/>
      <w:pPr>
        <w:ind w:left="6480" w:hanging="180"/>
      </w:pPr>
      <w:rPr>
        <w:color w:val="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76C2"/>
    <w:rsid w:val="000C6444"/>
    <w:rsid w:val="001672C5"/>
    <w:rsid w:val="003D66E8"/>
    <w:rsid w:val="0040775A"/>
    <w:rsid w:val="0064090D"/>
    <w:rsid w:val="009579C8"/>
    <w:rsid w:val="00B176C2"/>
    <w:rsid w:val="00BE15F1"/>
    <w:rsid w:val="00DA7818"/>
    <w:rsid w:val="00FF1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9C8"/>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rsid w:val="00B176C2"/>
  </w:style>
  <w:style w:type="character" w:styleId="Hyperlink">
    <w:name w:val="Hyperlink"/>
    <w:basedOn w:val="DefaultParagraphFont"/>
    <w:uiPriority w:val="99"/>
    <w:rsid w:val="00B176C2"/>
    <w:rPr>
      <w:color w:val="0000FF"/>
      <w:u w:val="single" w:color="0000FF"/>
    </w:rPr>
  </w:style>
  <w:style w:type="table" w:styleId="TableSimple1">
    <w:name w:val="Table Simple 1"/>
    <w:basedOn w:val="TableNormal"/>
    <w:uiPriority w:val="99"/>
    <w:rsid w:val="00B176C2"/>
    <w:pPr>
      <w:autoSpaceDE w:val="0"/>
      <w:autoSpaceDN w:val="0"/>
      <w:adjustRightInd w:val="0"/>
    </w:pPr>
    <w:rPr>
      <w:rFonts w:cs="Calibri"/>
      <w:sz w:val="24"/>
      <w:szCs w:val="24"/>
    </w:rPr>
    <w:tblPr>
      <w:tblBorders>
        <w:top w:val="single" w:sz="4" w:space="0" w:color="auto"/>
        <w:left w:val="single" w:sz="4" w:space="0" w:color="auto"/>
        <w:bottom w:val="single" w:sz="4" w:space="0" w:color="auto"/>
        <w:right w:val="single" w:sz="4" w:space="0" w:color="auto"/>
      </w:tblBorders>
      <w:tblCellMar>
        <w:top w:w="0" w:type="dxa"/>
        <w:left w:w="0" w:type="dxa"/>
        <w:bottom w:w="0" w:type="dxa"/>
        <w:right w:w="0" w:type="dxa"/>
      </w:tblCellMar>
    </w:tblPr>
  </w:style>
  <w:style w:type="paragraph" w:styleId="BalloonText">
    <w:name w:val="Balloon Text"/>
    <w:basedOn w:val="Normal"/>
    <w:link w:val="BalloonTextChar"/>
    <w:uiPriority w:val="99"/>
    <w:semiHidden/>
    <w:rsid w:val="00B176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76C2"/>
    <w:rPr>
      <w:rFonts w:ascii="Tahoma" w:hAnsi="Tahoma" w:cs="Tahoma"/>
      <w:sz w:val="16"/>
      <w:szCs w:val="16"/>
    </w:rPr>
  </w:style>
  <w:style w:type="paragraph" w:customStyle="1" w:styleId="abzacixml">
    <w:name w:val="abzaci_xml"/>
    <w:basedOn w:val="PlainText"/>
    <w:autoRedefine/>
    <w:uiPriority w:val="99"/>
    <w:rsid w:val="00DA7818"/>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DA7818"/>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3</Pages>
  <Words>1113</Words>
  <Characters>6350</Characters>
  <Application>Microsoft Office Word</Application>
  <DocSecurity>0</DocSecurity>
  <Lines>0</Lines>
  <Paragraphs>0</Paragraphs>
  <ScaleCrop>false</ScaleCrop>
  <Company>Georgian Courts</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t.dalaqishvili</dc:creator>
  <cp:keywords/>
  <dc:description/>
  <cp:lastModifiedBy>nvaradashvili</cp:lastModifiedBy>
  <cp:revision>5</cp:revision>
  <cp:lastPrinted>2014-09-24T09:41:00Z</cp:lastPrinted>
  <dcterms:created xsi:type="dcterms:W3CDTF">2014-09-22T10:53:00Z</dcterms:created>
  <dcterms:modified xsi:type="dcterms:W3CDTF">2014-09-24T11:38:00Z</dcterms:modified>
</cp:coreProperties>
</file>